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3"/>
        <w:tblW w:w="10555" w:type="dxa"/>
        <w:tblLayout w:type="fixed"/>
        <w:tblLook w:val="01E0" w:firstRow="1" w:lastRow="1" w:firstColumn="1" w:lastColumn="1" w:noHBand="0" w:noVBand="0"/>
      </w:tblPr>
      <w:tblGrid>
        <w:gridCol w:w="4320"/>
        <w:gridCol w:w="1808"/>
        <w:gridCol w:w="4427"/>
      </w:tblGrid>
      <w:tr w:rsidR="002F17B7" w:rsidRPr="00E609E7" w:rsidTr="002F17B7">
        <w:trPr>
          <w:trHeight w:val="1920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color w:val="000000"/>
                <w:w w:val="90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  <w:p w:rsidR="002F17B7" w:rsidRPr="00E609E7" w:rsidRDefault="002F17B7" w:rsidP="002F17B7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ИСПОЛНИТЕЛЬНЫЙ КОМИТЕТ </w:t>
            </w:r>
            <w:r w:rsidR="00996188"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БИКУЛОВ</w:t>
            </w:r>
            <w:r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НУРЛАТСКОГО МУНИЦИПАЛЬНОГО РАЙОНА РЕСПУБЛИКИ ТАТАРСТАН</w:t>
            </w:r>
          </w:p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</w:pPr>
            <w:r w:rsidRPr="00E609E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77962D" wp14:editId="1AC9143E">
                  <wp:extent cx="790575" cy="971550"/>
                  <wp:effectExtent l="0" t="0" r="9525" b="0"/>
                  <wp:docPr id="5" name="Рисунок 5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2F17B7" w:rsidRPr="00E609E7" w:rsidRDefault="00996188" w:rsidP="002F17B7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БИККОЛ</w:t>
            </w:r>
            <w:r w:rsidR="002F17B7" w:rsidRPr="00E60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2F17B7" w:rsidRPr="00E609E7" w:rsidRDefault="002F17B7" w:rsidP="002F17B7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7B7" w:rsidRPr="00E609E7" w:rsidTr="002F17B7">
        <w:trPr>
          <w:trHeight w:val="55"/>
        </w:trPr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2F17B7" w:rsidRPr="00E609E7" w:rsidTr="002F17B7">
        <w:trPr>
          <w:trHeight w:val="598"/>
        </w:trPr>
        <w:tc>
          <w:tcPr>
            <w:tcW w:w="4320" w:type="dxa"/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F17B7" w:rsidRPr="00F748DF" w:rsidRDefault="00996188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val="tt-RU" w:eastAsia="ru-RU"/>
              </w:rPr>
            </w:pPr>
            <w:proofErr w:type="spellStart"/>
            <w:r w:rsidRPr="00E60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</w:t>
            </w:r>
            <w:proofErr w:type="spellEnd"/>
            <w:r w:rsidR="00F748DF"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  <w:t>ко</w:t>
            </w:r>
            <w:r w:rsidR="00F748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F748DF"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  <w:t xml:space="preserve"> ав.</w:t>
            </w:r>
          </w:p>
        </w:tc>
        <w:tc>
          <w:tcPr>
            <w:tcW w:w="4427" w:type="dxa"/>
          </w:tcPr>
          <w:p w:rsidR="002F17B7" w:rsidRPr="00E609E7" w:rsidRDefault="002F17B7" w:rsidP="002F17B7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БОЕРЫК </w:t>
            </w:r>
          </w:p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  <w:tr w:rsidR="002F17B7" w:rsidRPr="00E609E7" w:rsidTr="002F17B7">
        <w:trPr>
          <w:trHeight w:val="393"/>
        </w:trPr>
        <w:tc>
          <w:tcPr>
            <w:tcW w:w="4320" w:type="dxa"/>
          </w:tcPr>
          <w:p w:rsidR="002F17B7" w:rsidRPr="00E609E7" w:rsidRDefault="002F17B7" w:rsidP="00E621B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«</w:t>
            </w:r>
            <w:r w:rsidR="00E621BB"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18</w:t>
            </w:r>
            <w:r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»</w:t>
            </w:r>
            <w:r w:rsidR="00F748DF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 xml:space="preserve"> ноябрь</w:t>
            </w:r>
            <w:r w:rsidR="00E621BB"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20</w:t>
            </w:r>
            <w:r w:rsidR="00E621BB" w:rsidRPr="00E609E7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>21</w:t>
            </w:r>
            <w:r w:rsidR="00F748DF"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  <w:t xml:space="preserve"> ел</w:t>
            </w:r>
            <w:bookmarkStart w:id="0" w:name="_GoBack"/>
            <w:bookmarkEnd w:id="0"/>
          </w:p>
        </w:tc>
        <w:tc>
          <w:tcPr>
            <w:tcW w:w="1808" w:type="dxa"/>
          </w:tcPr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</w:tcPr>
          <w:p w:rsidR="002F17B7" w:rsidRPr="00E609E7" w:rsidRDefault="00E621BB" w:rsidP="00E621B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0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2F17B7" w:rsidRPr="00E60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609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7B7" w:rsidRPr="00E609E7" w:rsidRDefault="002F17B7" w:rsidP="002F17B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</w:tr>
    </w:tbl>
    <w:p w:rsidR="00F748DF" w:rsidRPr="00F748DF" w:rsidRDefault="00F748DF" w:rsidP="00F748DF">
      <w:pPr>
        <w:spacing w:after="0" w:line="240" w:lineRule="auto"/>
        <w:ind w:righ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Татарстан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Республикасы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Нурлат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районы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Биккол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авыл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җирлеге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Башкарма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комитетының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«Татарстан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Республикасы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Нурлат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районы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Биккол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авыл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җирлеге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территориясендә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адресларны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бирү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үзгәртү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һәм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юкка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чыгару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буенча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хезмәт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күрсәтүнең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административ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регламентын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рас</w:t>
      </w:r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лау</w:t>
      </w:r>
      <w:proofErr w:type="spellEnd"/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турында</w:t>
      </w:r>
      <w:proofErr w:type="spellEnd"/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» </w:t>
      </w:r>
      <w:r>
        <w:rPr>
          <w:rFonts w:ascii="Arial" w:eastAsia="Calibri" w:hAnsi="Arial" w:cs="Arial"/>
          <w:bCs/>
          <w:kern w:val="28"/>
          <w:sz w:val="24"/>
          <w:szCs w:val="24"/>
          <w:lang w:val="tt-RU" w:eastAsia="ru-RU"/>
        </w:rPr>
        <w:t>12</w:t>
      </w:r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0</w:t>
      </w:r>
      <w:r>
        <w:rPr>
          <w:rFonts w:ascii="Arial" w:eastAsia="Calibri" w:hAnsi="Arial" w:cs="Arial"/>
          <w:bCs/>
          <w:kern w:val="28"/>
          <w:sz w:val="24"/>
          <w:szCs w:val="24"/>
          <w:lang w:val="tt-RU" w:eastAsia="ru-RU"/>
        </w:rPr>
        <w:t>8</w:t>
      </w:r>
      <w:r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.2021 ел, № </w:t>
      </w:r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bCs/>
          <w:kern w:val="28"/>
          <w:sz w:val="24"/>
          <w:szCs w:val="24"/>
          <w:lang w:val="tt-RU" w:eastAsia="ru-RU"/>
        </w:rPr>
        <w:t>1</w:t>
      </w:r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карарына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үзгәрешлә</w:t>
      </w:r>
      <w:proofErr w:type="gram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р</w:t>
      </w:r>
      <w:proofErr w:type="spellEnd"/>
      <w:proofErr w:type="gram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кертү</w:t>
      </w:r>
      <w:proofErr w:type="spellEnd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28"/>
          <w:sz w:val="24"/>
          <w:szCs w:val="24"/>
          <w:lang w:eastAsia="ru-RU"/>
        </w:rPr>
        <w:t>хакында</w:t>
      </w:r>
      <w:proofErr w:type="spellEnd"/>
    </w:p>
    <w:p w:rsidR="00F748DF" w:rsidRPr="00F748DF" w:rsidRDefault="00F748DF" w:rsidP="00F748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48DF" w:rsidRPr="00F748DF" w:rsidRDefault="00F748DF" w:rsidP="00F748DF">
      <w:pPr>
        <w:spacing w:after="24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748DF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Дәүләт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һәм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хезмәтлә</w:t>
      </w:r>
      <w:proofErr w:type="gramStart"/>
      <w:r w:rsidRPr="00F748DF">
        <w:rPr>
          <w:rFonts w:ascii="Arial" w:eastAsia="Calibri" w:hAnsi="Arial" w:cs="Arial"/>
          <w:sz w:val="24"/>
          <w:szCs w:val="24"/>
        </w:rPr>
        <w:t>р</w:t>
      </w:r>
      <w:proofErr w:type="spellEnd"/>
      <w:proofErr w:type="gram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күрсәтүне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оештыру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турында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» 2010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елның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27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июлендәге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210-ФЗ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номерлы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Федераль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закон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нигезендә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, Татарстан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Нурлат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районы </w:t>
      </w:r>
      <w:proofErr w:type="spellStart"/>
      <w:r>
        <w:rPr>
          <w:rFonts w:ascii="Arial" w:eastAsia="Calibri" w:hAnsi="Arial" w:cs="Arial"/>
          <w:sz w:val="24"/>
          <w:szCs w:val="24"/>
        </w:rPr>
        <w:t>Биккол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авыл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җирлеге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sz w:val="24"/>
          <w:szCs w:val="24"/>
        </w:rPr>
        <w:t>башкарма</w:t>
      </w:r>
      <w:proofErr w:type="spellEnd"/>
      <w:r w:rsidRPr="00F748DF">
        <w:rPr>
          <w:rFonts w:ascii="Arial" w:eastAsia="Calibri" w:hAnsi="Arial" w:cs="Arial"/>
          <w:sz w:val="24"/>
          <w:szCs w:val="24"/>
        </w:rPr>
        <w:t xml:space="preserve"> комитеты</w:t>
      </w:r>
    </w:p>
    <w:p w:rsidR="00F748DF" w:rsidRPr="00F748DF" w:rsidRDefault="00F748DF" w:rsidP="00F748DF">
      <w:pPr>
        <w:spacing w:after="240"/>
        <w:jc w:val="center"/>
        <w:rPr>
          <w:rFonts w:ascii="Arial" w:eastAsia="Calibri" w:hAnsi="Arial" w:cs="Arial"/>
          <w:sz w:val="24"/>
          <w:szCs w:val="24"/>
        </w:rPr>
      </w:pPr>
      <w:r w:rsidRPr="00F748DF">
        <w:rPr>
          <w:rFonts w:ascii="Arial" w:eastAsia="Calibri" w:hAnsi="Arial" w:cs="Arial"/>
          <w:sz w:val="24"/>
          <w:szCs w:val="24"/>
        </w:rPr>
        <w:t>КАРАР БИР</w:t>
      </w:r>
      <w:r w:rsidRPr="00F748DF">
        <w:rPr>
          <w:rFonts w:ascii="Arial" w:eastAsia="Calibri" w:hAnsi="Arial" w:cs="Arial"/>
          <w:sz w:val="24"/>
          <w:szCs w:val="24"/>
          <w:lang w:val="tt-RU"/>
        </w:rPr>
        <w:t>Ә</w:t>
      </w:r>
      <w:r w:rsidRPr="00F748DF">
        <w:rPr>
          <w:rFonts w:ascii="Arial" w:eastAsia="Calibri" w:hAnsi="Arial" w:cs="Arial"/>
          <w:sz w:val="24"/>
          <w:szCs w:val="24"/>
        </w:rPr>
        <w:t>:</w:t>
      </w:r>
    </w:p>
    <w:p w:rsidR="00F748DF" w:rsidRPr="00F748DF" w:rsidRDefault="00F748DF" w:rsidP="00F748DF">
      <w:pPr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sz w:val="24"/>
          <w:szCs w:val="24"/>
        </w:rPr>
        <w:t>1.</w:t>
      </w:r>
      <w:r w:rsidRPr="00F748DF">
        <w:rPr>
          <w:rFonts w:ascii="Calibri" w:eastAsia="Calibri" w:hAnsi="Calibri" w:cs="Times New Roman"/>
        </w:rPr>
        <w:t xml:space="preserve"> </w:t>
      </w:r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Татарстан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Республикасы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Нурлат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районының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Биккол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авыл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җирлеге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башкарма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комитетының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«Татарстан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Республикасы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Нурлат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районының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Биккол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авыл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җирлеге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территориясендә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адреслар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бирү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,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үзгәртү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һәм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аннулирование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буенча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хезмәт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күрсәтүнең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административ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регламентын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раслау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турында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»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2021 елның 12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августындагы 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2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1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номерлы карарына</w:t>
      </w:r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«Татарстан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Республикасы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Нурлат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муниципаль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районының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Биккол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авыл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җирлеге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башкарма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комитеты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карар</w:t>
      </w:r>
      <w:r>
        <w:rPr>
          <w:rFonts w:ascii="Arial" w:eastAsia="Calibri" w:hAnsi="Arial" w:cs="Arial"/>
          <w:bCs/>
          <w:kern w:val="32"/>
          <w:sz w:val="24"/>
          <w:szCs w:val="24"/>
        </w:rPr>
        <w:t>ына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үзгәрешлә</w:t>
      </w:r>
      <w:proofErr w:type="gramStart"/>
      <w:r>
        <w:rPr>
          <w:rFonts w:ascii="Arial" w:eastAsia="Calibri" w:hAnsi="Arial" w:cs="Arial"/>
          <w:bCs/>
          <w:kern w:val="32"/>
          <w:sz w:val="24"/>
          <w:szCs w:val="24"/>
        </w:rPr>
        <w:t>р</w:t>
      </w:r>
      <w:proofErr w:type="spellEnd"/>
      <w:proofErr w:type="gram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кертү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kern w:val="32"/>
          <w:sz w:val="24"/>
          <w:szCs w:val="24"/>
        </w:rPr>
        <w:t>турында</w:t>
      </w:r>
      <w:proofErr w:type="spellEnd"/>
      <w:r>
        <w:rPr>
          <w:rFonts w:ascii="Arial" w:eastAsia="Calibri" w:hAnsi="Arial" w:cs="Arial"/>
          <w:bCs/>
          <w:kern w:val="32"/>
          <w:sz w:val="24"/>
          <w:szCs w:val="24"/>
        </w:rPr>
        <w:t xml:space="preserve">»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16</w:t>
      </w:r>
      <w:r>
        <w:rPr>
          <w:rFonts w:ascii="Arial" w:eastAsia="Calibri" w:hAnsi="Arial" w:cs="Arial"/>
          <w:bCs/>
          <w:kern w:val="32"/>
          <w:sz w:val="24"/>
          <w:szCs w:val="24"/>
        </w:rPr>
        <w:t>.</w:t>
      </w:r>
      <w:r w:rsidRPr="00F748DF">
        <w:rPr>
          <w:rFonts w:ascii="Arial" w:eastAsia="Calibri" w:hAnsi="Arial" w:cs="Arial"/>
          <w:bCs/>
          <w:kern w:val="32"/>
          <w:sz w:val="24"/>
          <w:szCs w:val="24"/>
        </w:rPr>
        <w:t>0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9</w:t>
      </w:r>
      <w:r w:rsidRPr="00F748DF">
        <w:rPr>
          <w:rFonts w:ascii="Arial" w:eastAsia="Calibri" w:hAnsi="Arial" w:cs="Arial"/>
          <w:bCs/>
          <w:kern w:val="32"/>
          <w:sz w:val="24"/>
          <w:szCs w:val="24"/>
        </w:rPr>
        <w:t>.2021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ел, </w:t>
      </w:r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26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номерлы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карарын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үз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көчен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югалткан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дип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proofErr w:type="spellStart"/>
      <w:r w:rsidRPr="00F748DF">
        <w:rPr>
          <w:rFonts w:ascii="Arial" w:eastAsia="Calibri" w:hAnsi="Arial" w:cs="Arial"/>
          <w:bCs/>
          <w:kern w:val="32"/>
          <w:sz w:val="24"/>
          <w:szCs w:val="24"/>
        </w:rPr>
        <w:t>танырга</w:t>
      </w:r>
      <w:proofErr w:type="spellEnd"/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</w:t>
      </w:r>
    </w:p>
    <w:p w:rsidR="00F748DF" w:rsidRPr="00F748DF" w:rsidRDefault="00F748DF" w:rsidP="00F748DF">
      <w:pPr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.2. 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Татарстан Республикасы Нурлат муниципаль районы </w:t>
      </w:r>
      <w:r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>Биккол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 авыл җирлеге Башкарма комитетының «Татарстан Республикасы Нурлат муниципаль районы </w:t>
      </w:r>
      <w:r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>Биккол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 авыл җирлеге территориясендә адресларны бирү, үзгәртү һәм юкка чыгару буенча муниципаль хезмәт күрсәтүнең административ регламентын раслау турында»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2021 елның 12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августындагы 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2</w:t>
      </w:r>
      <w:r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1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 номерлы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 карары белән расланган адресларны бирү, үзгәртү һәм юкка чыгару буенча муниципаль хезмәт күрсәтүнең административ регламентына түбәндәге үзгәрешләрне кертергә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:  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2.1. 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>1.5 пунктының 2 - 10 абзацларын түбәндәге редакциядә бәян итәргә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: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«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 xml:space="preserve">Регламентта дәүләт адреслы реестрын алып баруга һәм федераль мәгълүмат адреслы системасын эксплуатацияләүгә бәйле рәвештә кулланыла торган төшенчәләр Россия Федерациясе Шәһәр төзелеше кодексы, «Федераль 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lastRenderedPageBreak/>
        <w:t>мәгълүмат адреслы системасы турында һәм «Россия Федерациясендә җирле үзидарәне оештыруның гомуми принциплары турында» Федераль законга үзгәрешләр кертү хакында» 2013 елның 28 декабрендәге 443-ФЗ номерлы Федераль закон, Россия Федерациясе Хөкүмәтенең 2014 елның 19 ноябрендәге 1221 номерлы «Адресларны бирү, үзгәртү һәм бетерү кагыйдәләрен раслау турында» карарына нигезләнеп файдаланыла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».»;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sz w:val="24"/>
          <w:szCs w:val="24"/>
          <w:lang w:val="tt-RU"/>
        </w:rPr>
        <w:t xml:space="preserve">2.2. </w:t>
      </w:r>
      <w:r w:rsidRPr="00F748DF">
        <w:rPr>
          <w:rFonts w:ascii="Arial" w:eastAsia="Times New Roman" w:hAnsi="Arial" w:cs="Arial"/>
          <w:sz w:val="24"/>
          <w:szCs w:val="24"/>
          <w:lang w:val="tt-RU" w:eastAsia="ru-RU"/>
        </w:rPr>
        <w:t>1.5 пунктының 11 - 17 абзацларын тиешенчә 3 - 9 абзацлар дип санарга</w:t>
      </w:r>
      <w:r w:rsidRPr="00F748DF">
        <w:rPr>
          <w:rFonts w:ascii="Arial" w:eastAsia="Calibri" w:hAnsi="Arial" w:cs="Arial"/>
          <w:sz w:val="24"/>
          <w:szCs w:val="24"/>
          <w:lang w:val="tt-RU"/>
        </w:rPr>
        <w:t>;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2.3. 2.6.1 пунктының 8 пунктчасында. «Татарстан Республикасы Нурлат муниципаль районы Башкарма комитеты» сүзләрен «төзелгән килешү нигезендә муниципаль район башкарма комитеты яисә җирле үзидарә органы " сүзләренә алмаштырырга»;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bCs/>
          <w:kern w:val="32"/>
          <w:sz w:val="24"/>
          <w:szCs w:val="24"/>
          <w:lang w:val="tt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2.4. 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>2.6.4 пунктта «башкарма комитетның структур бүлекчәсе тарафыннан» сүзләрен «муниципаль районның җирле үзидарә органнары, Башкарма комитет тарафыннан» сүзләренә алмаштырырга</w:t>
      </w: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>».</w:t>
      </w:r>
    </w:p>
    <w:p w:rsidR="00F748DF" w:rsidRPr="00F748DF" w:rsidRDefault="00F748DF" w:rsidP="00F748DF">
      <w:pPr>
        <w:ind w:firstLine="567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</w:pPr>
      <w:r w:rsidRPr="00F748DF">
        <w:rPr>
          <w:rFonts w:ascii="Arial" w:eastAsia="Calibri" w:hAnsi="Arial" w:cs="Arial"/>
          <w:bCs/>
          <w:kern w:val="32"/>
          <w:sz w:val="24"/>
          <w:szCs w:val="24"/>
          <w:lang w:val="tt-RU"/>
        </w:rPr>
        <w:t xml:space="preserve">3. </w:t>
      </w:r>
      <w:r w:rsidRPr="00F748DF">
        <w:rPr>
          <w:rFonts w:ascii="Arial" w:eastAsia="Times New Roman" w:hAnsi="Arial" w:cs="Arial"/>
          <w:bCs/>
          <w:kern w:val="32"/>
          <w:sz w:val="24"/>
          <w:szCs w:val="24"/>
          <w:lang w:val="tt-RU" w:eastAsia="ru-RU"/>
        </w:rPr>
        <w:t>Әлеге карарны авыл җирлеге территориясендә урнашкан мәгълүмат стендларында Татарстан Республикасы хокукый мәгълүматының рәсми порталында (pravo.tatarstan.ru) игълан итәргә, шулай ук «Интернет» мәгълүмат-телекоммуникация челтәрендә Нурлат муниципаль районының рәсми сайтында урнаштырырга.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F748DF">
        <w:rPr>
          <w:rFonts w:ascii="Arial" w:eastAsia="Times New Roman" w:hAnsi="Arial" w:cs="Arial"/>
          <w:sz w:val="24"/>
          <w:szCs w:val="24"/>
          <w:lang w:val="tt-RU" w:eastAsia="ru-RU"/>
        </w:rPr>
        <w:t>3. Әлеге карар рәсми басылып чыкканнан (халыкка җиткергәннән) соң үз көченә керә</w:t>
      </w:r>
      <w:r w:rsidRPr="00F748DF">
        <w:rPr>
          <w:rFonts w:ascii="Arial" w:eastAsia="Calibri" w:hAnsi="Arial" w:cs="Arial"/>
          <w:sz w:val="24"/>
          <w:szCs w:val="24"/>
          <w:lang w:val="tt-RU"/>
        </w:rPr>
        <w:t>.</w:t>
      </w:r>
    </w:p>
    <w:p w:rsidR="00F748DF" w:rsidRPr="00F748DF" w:rsidRDefault="00F748DF" w:rsidP="00F748DF">
      <w:pPr>
        <w:shd w:val="clear" w:color="auto" w:fill="FFFFFF"/>
        <w:ind w:firstLine="708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F748DF" w:rsidRPr="00F748DF" w:rsidRDefault="00F748DF" w:rsidP="00F748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Татарстан </w:t>
      </w:r>
      <w:proofErr w:type="spellStart"/>
      <w:r w:rsidRPr="00F748DF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</w:p>
    <w:p w:rsidR="00F748DF" w:rsidRPr="00F748DF" w:rsidRDefault="00F748DF" w:rsidP="00F748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Нурлат </w:t>
      </w:r>
      <w:proofErr w:type="spellStart"/>
      <w:r w:rsidRPr="00F748DF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 районы</w:t>
      </w:r>
    </w:p>
    <w:p w:rsidR="00F748DF" w:rsidRPr="00F748DF" w:rsidRDefault="00F748DF" w:rsidP="00F748DF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Биккол</w:t>
      </w:r>
      <w:proofErr w:type="spellEnd"/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F748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48DF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</w:p>
    <w:p w:rsidR="002F17B7" w:rsidRPr="00E609E7" w:rsidRDefault="00F748DF" w:rsidP="00F74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tt-RU"/>
        </w:rPr>
        <w:t xml:space="preserve">Башкарма комитеты </w:t>
      </w:r>
      <w:r w:rsidRPr="00F748DF">
        <w:rPr>
          <w:rFonts w:ascii="Arial" w:eastAsia="Calibri" w:hAnsi="Arial" w:cs="Arial"/>
          <w:sz w:val="24"/>
          <w:szCs w:val="24"/>
          <w:lang w:val="tt-RU"/>
        </w:rPr>
        <w:t>җитәкчесе</w:t>
      </w:r>
      <w:r w:rsidR="00572D62" w:rsidRPr="00E609E7">
        <w:rPr>
          <w:rFonts w:ascii="Arial" w:hAnsi="Arial" w:cs="Arial"/>
          <w:sz w:val="24"/>
          <w:szCs w:val="24"/>
          <w:lang w:val="tt-RU"/>
        </w:rPr>
        <w:t xml:space="preserve">                           </w:t>
      </w:r>
      <w:r w:rsidR="007D2AC7" w:rsidRPr="00E609E7">
        <w:rPr>
          <w:rFonts w:ascii="Arial" w:hAnsi="Arial" w:cs="Arial"/>
          <w:sz w:val="24"/>
          <w:szCs w:val="24"/>
          <w:lang w:val="tt-RU"/>
        </w:rPr>
        <w:t xml:space="preserve"> </w:t>
      </w:r>
      <w:r w:rsidR="00572D62" w:rsidRPr="00E609E7">
        <w:rPr>
          <w:rFonts w:ascii="Arial" w:hAnsi="Arial" w:cs="Arial"/>
          <w:sz w:val="24"/>
          <w:szCs w:val="24"/>
          <w:lang w:val="tt-RU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tt-RU"/>
        </w:rPr>
        <w:t>Р.Х.Әхмә</w:t>
      </w:r>
      <w:r w:rsidR="00996188" w:rsidRPr="00E609E7">
        <w:rPr>
          <w:rFonts w:ascii="Arial" w:hAnsi="Arial" w:cs="Arial"/>
          <w:sz w:val="24"/>
          <w:szCs w:val="24"/>
          <w:lang w:val="tt-RU"/>
        </w:rPr>
        <w:t xml:space="preserve">тшина </w:t>
      </w:r>
    </w:p>
    <w:sectPr w:rsidR="002F17B7" w:rsidRPr="00E609E7" w:rsidSect="001227E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6"/>
    <w:rsid w:val="001227E8"/>
    <w:rsid w:val="00267766"/>
    <w:rsid w:val="002B3EE8"/>
    <w:rsid w:val="002F17B7"/>
    <w:rsid w:val="00572D62"/>
    <w:rsid w:val="00614F2D"/>
    <w:rsid w:val="007D2AC7"/>
    <w:rsid w:val="00996188"/>
    <w:rsid w:val="00E609E7"/>
    <w:rsid w:val="00E621BB"/>
    <w:rsid w:val="00F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7B7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B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1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7B7"/>
    <w:pPr>
      <w:keepNext/>
      <w:spacing w:after="0" w:line="300" w:lineRule="exact"/>
      <w:jc w:val="center"/>
      <w:outlineLvl w:val="0"/>
    </w:pPr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B7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17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Айгуль Гатина</cp:lastModifiedBy>
  <cp:revision>2</cp:revision>
  <dcterms:created xsi:type="dcterms:W3CDTF">2021-11-24T11:53:00Z</dcterms:created>
  <dcterms:modified xsi:type="dcterms:W3CDTF">2021-11-24T11:53:00Z</dcterms:modified>
</cp:coreProperties>
</file>