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D3" w:rsidRPr="00B036D3" w:rsidRDefault="00B036D3" w:rsidP="00B036D3">
      <w:pPr>
        <w:pStyle w:val="1"/>
        <w:tabs>
          <w:tab w:val="left" w:pos="6331"/>
        </w:tabs>
        <w:jc w:val="center"/>
        <w:rPr>
          <w:szCs w:val="28"/>
        </w:rPr>
      </w:pPr>
      <w:r w:rsidRPr="00B036D3">
        <w:rPr>
          <w:szCs w:val="28"/>
        </w:rPr>
        <w:t xml:space="preserve">СОВЕТ НУРЛАТСКОГО МУНИЦИПАЛЬНОГО РАЙОНА     </w:t>
      </w:r>
    </w:p>
    <w:p w:rsidR="00B036D3" w:rsidRPr="00B036D3" w:rsidRDefault="00B036D3" w:rsidP="00B036D3">
      <w:pPr>
        <w:jc w:val="center"/>
        <w:rPr>
          <w:sz w:val="28"/>
          <w:szCs w:val="28"/>
        </w:rPr>
      </w:pPr>
      <w:r w:rsidRPr="00B036D3">
        <w:rPr>
          <w:b/>
          <w:sz w:val="28"/>
          <w:szCs w:val="28"/>
        </w:rPr>
        <w:t>РЕСПУБЛИКИ ТАТАРСТАН</w:t>
      </w:r>
    </w:p>
    <w:p w:rsidR="00B036D3" w:rsidRPr="00B036D3" w:rsidRDefault="00B036D3" w:rsidP="00B036D3">
      <w:pPr>
        <w:jc w:val="center"/>
        <w:rPr>
          <w:sz w:val="28"/>
          <w:szCs w:val="28"/>
        </w:rPr>
      </w:pPr>
    </w:p>
    <w:p w:rsidR="00B036D3" w:rsidRPr="00B036D3" w:rsidRDefault="00B036D3" w:rsidP="00B036D3">
      <w:pPr>
        <w:ind w:right="-289"/>
        <w:jc w:val="center"/>
        <w:rPr>
          <w:sz w:val="28"/>
          <w:szCs w:val="28"/>
        </w:rPr>
      </w:pPr>
      <w:r w:rsidRPr="00B036D3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44830" cy="758825"/>
            <wp:effectExtent l="19050" t="0" r="762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6D3" w:rsidRPr="00B036D3" w:rsidRDefault="001474A1" w:rsidP="00147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КАРАР</w:t>
      </w:r>
    </w:p>
    <w:p w:rsidR="00B036D3" w:rsidRDefault="00B036D3" w:rsidP="00B036D3">
      <w:pPr>
        <w:jc w:val="center"/>
        <w:rPr>
          <w:b/>
          <w:sz w:val="28"/>
          <w:szCs w:val="28"/>
        </w:rPr>
      </w:pPr>
      <w:r w:rsidRPr="00B036D3">
        <w:rPr>
          <w:b/>
          <w:sz w:val="28"/>
          <w:szCs w:val="28"/>
        </w:rPr>
        <w:t xml:space="preserve">     РЕШЕНИЕ </w:t>
      </w:r>
    </w:p>
    <w:p w:rsidR="00B036D3" w:rsidRPr="00B036D3" w:rsidRDefault="00B036D3" w:rsidP="00B036D3">
      <w:pPr>
        <w:jc w:val="center"/>
        <w:rPr>
          <w:b/>
          <w:sz w:val="28"/>
          <w:szCs w:val="28"/>
        </w:rPr>
      </w:pPr>
    </w:p>
    <w:p w:rsidR="00B036D3" w:rsidRPr="00B036D3" w:rsidRDefault="00B036D3" w:rsidP="00B036D3">
      <w:pPr>
        <w:pStyle w:val="11"/>
        <w:shd w:val="clear" w:color="auto" w:fill="FFFFFF"/>
        <w:tabs>
          <w:tab w:val="left" w:pos="10065"/>
        </w:tabs>
        <w:jc w:val="center"/>
        <w:rPr>
          <w:rFonts w:ascii="Times New Roman" w:hAnsi="Times New Roman"/>
          <w:sz w:val="28"/>
          <w:szCs w:val="28"/>
        </w:rPr>
      </w:pPr>
      <w:r w:rsidRPr="00B036D3">
        <w:rPr>
          <w:rFonts w:ascii="Times New Roman" w:hAnsi="Times New Roman"/>
          <w:sz w:val="28"/>
          <w:szCs w:val="28"/>
        </w:rPr>
        <w:t>О внесении изменений и дополнений</w:t>
      </w:r>
    </w:p>
    <w:p w:rsidR="00B036D3" w:rsidRPr="00B036D3" w:rsidRDefault="00B036D3" w:rsidP="00B036D3">
      <w:pPr>
        <w:pStyle w:val="11"/>
        <w:shd w:val="clear" w:color="auto" w:fill="FFFFFF"/>
        <w:tabs>
          <w:tab w:val="left" w:pos="10065"/>
        </w:tabs>
        <w:jc w:val="center"/>
        <w:rPr>
          <w:rFonts w:ascii="Times New Roman" w:hAnsi="Times New Roman"/>
          <w:sz w:val="28"/>
          <w:szCs w:val="28"/>
        </w:rPr>
      </w:pPr>
      <w:r w:rsidRPr="00B036D3">
        <w:rPr>
          <w:rFonts w:ascii="Times New Roman" w:hAnsi="Times New Roman"/>
          <w:sz w:val="28"/>
          <w:szCs w:val="28"/>
        </w:rPr>
        <w:t xml:space="preserve"> в Положение о финансово-бюджетной палате</w:t>
      </w:r>
    </w:p>
    <w:p w:rsidR="00B036D3" w:rsidRPr="00B036D3" w:rsidRDefault="00B036D3" w:rsidP="00B036D3">
      <w:pPr>
        <w:pStyle w:val="11"/>
        <w:shd w:val="clear" w:color="auto" w:fill="FFFFFF"/>
        <w:tabs>
          <w:tab w:val="left" w:pos="10065"/>
        </w:tabs>
        <w:jc w:val="center"/>
        <w:rPr>
          <w:rFonts w:ascii="Times New Roman" w:hAnsi="Times New Roman"/>
          <w:sz w:val="28"/>
          <w:szCs w:val="28"/>
        </w:rPr>
      </w:pPr>
      <w:r w:rsidRPr="00B036D3">
        <w:rPr>
          <w:rFonts w:ascii="Times New Roman" w:hAnsi="Times New Roman"/>
          <w:sz w:val="28"/>
          <w:szCs w:val="28"/>
        </w:rPr>
        <w:t>Нурлатского муниципального района РТ</w:t>
      </w:r>
    </w:p>
    <w:p w:rsidR="00B036D3" w:rsidRPr="00B036D3" w:rsidRDefault="00B036D3" w:rsidP="00B036D3">
      <w:pPr>
        <w:pStyle w:val="11"/>
        <w:shd w:val="clear" w:color="auto" w:fill="FFFFFF"/>
        <w:tabs>
          <w:tab w:val="left" w:pos="10065"/>
        </w:tabs>
        <w:jc w:val="center"/>
        <w:rPr>
          <w:rFonts w:ascii="Times New Roman" w:hAnsi="Times New Roman"/>
          <w:sz w:val="28"/>
          <w:szCs w:val="28"/>
        </w:rPr>
      </w:pPr>
    </w:p>
    <w:p w:rsidR="00B036D3" w:rsidRPr="00B036D3" w:rsidRDefault="00B036D3" w:rsidP="00B036D3">
      <w:pPr>
        <w:rPr>
          <w:b/>
          <w:sz w:val="28"/>
          <w:szCs w:val="28"/>
        </w:rPr>
      </w:pPr>
      <w:r w:rsidRPr="00B036D3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B036D3">
        <w:rPr>
          <w:b/>
          <w:sz w:val="28"/>
          <w:szCs w:val="28"/>
        </w:rPr>
        <w:t>237</w:t>
      </w:r>
      <w:r>
        <w:rPr>
          <w:b/>
          <w:sz w:val="28"/>
          <w:szCs w:val="28"/>
        </w:rPr>
        <w:t xml:space="preserve">                                                                                  от 2</w:t>
      </w:r>
      <w:r w:rsidRPr="00B036D3">
        <w:rPr>
          <w:b/>
          <w:sz w:val="28"/>
          <w:szCs w:val="28"/>
        </w:rPr>
        <w:t xml:space="preserve">1 апреля 2009 года                                                                                 </w:t>
      </w:r>
    </w:p>
    <w:p w:rsidR="00B036D3" w:rsidRPr="00B036D3" w:rsidRDefault="00B036D3" w:rsidP="00B036D3">
      <w:pPr>
        <w:pStyle w:val="11"/>
        <w:shd w:val="clear" w:color="auto" w:fill="FFFFFF"/>
        <w:tabs>
          <w:tab w:val="left" w:pos="10065"/>
        </w:tabs>
        <w:jc w:val="center"/>
        <w:rPr>
          <w:rFonts w:ascii="Times New Roman" w:hAnsi="Times New Roman"/>
          <w:b w:val="0"/>
          <w:sz w:val="28"/>
          <w:szCs w:val="28"/>
        </w:rPr>
      </w:pPr>
    </w:p>
    <w:p w:rsidR="00B036D3" w:rsidRDefault="00B036D3" w:rsidP="00B036D3">
      <w:pPr>
        <w:pStyle w:val="11"/>
        <w:shd w:val="clear" w:color="auto" w:fill="FFFFFF"/>
        <w:tabs>
          <w:tab w:val="left" w:pos="10065"/>
        </w:tabs>
        <w:jc w:val="center"/>
        <w:rPr>
          <w:rFonts w:ascii="Times New Roman" w:hAnsi="Times New Roman"/>
          <w:sz w:val="28"/>
          <w:szCs w:val="28"/>
        </w:rPr>
      </w:pPr>
    </w:p>
    <w:p w:rsidR="00B036D3" w:rsidRPr="00877A0C" w:rsidRDefault="00B036D3" w:rsidP="00B036D3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</w:t>
      </w:r>
      <w:r w:rsidRPr="00C71803">
        <w:rPr>
          <w:rFonts w:ascii="Times New Roman" w:hAnsi="Times New Roman"/>
          <w:b w:val="0"/>
          <w:sz w:val="28"/>
        </w:rPr>
        <w:t>Рассмотрев</w:t>
      </w:r>
      <w:r>
        <w:rPr>
          <w:rFonts w:ascii="Times New Roman" w:hAnsi="Times New Roman"/>
          <w:b w:val="0"/>
          <w:sz w:val="28"/>
        </w:rPr>
        <w:t xml:space="preserve"> протест </w:t>
      </w:r>
      <w:proofErr w:type="spellStart"/>
      <w:r>
        <w:rPr>
          <w:rFonts w:ascii="Times New Roman" w:hAnsi="Times New Roman"/>
          <w:b w:val="0"/>
          <w:sz w:val="28"/>
        </w:rPr>
        <w:t>Нурлатской</w:t>
      </w:r>
      <w:proofErr w:type="spellEnd"/>
      <w:r>
        <w:rPr>
          <w:rFonts w:ascii="Times New Roman" w:hAnsi="Times New Roman"/>
          <w:b w:val="0"/>
          <w:sz w:val="28"/>
        </w:rPr>
        <w:t xml:space="preserve"> городской прокуратуры от 30.03.2009г за №91-09 на Положение о финансово-бюджетной палате Нурлатского муниципального района РТ, утвержденное Советом Нурлатского муниципального района 28 января 2006 года, Совет Нурлатского муниципального района  </w:t>
      </w:r>
      <w:proofErr w:type="gramStart"/>
      <w:r w:rsidRPr="00877A0C">
        <w:rPr>
          <w:rFonts w:ascii="Times New Roman" w:hAnsi="Times New Roman"/>
          <w:sz w:val="28"/>
        </w:rPr>
        <w:t>Р</w:t>
      </w:r>
      <w:proofErr w:type="gramEnd"/>
      <w:r w:rsidRPr="00877A0C">
        <w:rPr>
          <w:rFonts w:ascii="Times New Roman" w:hAnsi="Times New Roman"/>
          <w:sz w:val="28"/>
        </w:rPr>
        <w:t xml:space="preserve"> Е Ш И Л:</w:t>
      </w:r>
    </w:p>
    <w:p w:rsidR="00B036D3" w:rsidRDefault="00B036D3" w:rsidP="00B036D3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</w:rPr>
      </w:pPr>
    </w:p>
    <w:p w:rsidR="00B036D3" w:rsidRDefault="00B036D3" w:rsidP="00B036D3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8"/>
        </w:rPr>
        <w:t>1. Внести в Положение о финансово-бюджетной палате Нурлатского муниципального района РТ изменения и дополнения согласн</w:t>
      </w:r>
      <w:r w:rsidR="005114AD">
        <w:rPr>
          <w:rFonts w:ascii="Times New Roman" w:hAnsi="Times New Roman"/>
          <w:b w:val="0"/>
          <w:sz w:val="28"/>
        </w:rPr>
        <w:t>о действующему законодательству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(Приложение 1).</w:t>
      </w:r>
    </w:p>
    <w:p w:rsidR="00B036D3" w:rsidRDefault="00B036D3" w:rsidP="00B036D3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4"/>
          <w:szCs w:val="24"/>
        </w:rPr>
      </w:pPr>
    </w:p>
    <w:p w:rsidR="00B036D3" w:rsidRPr="00224CDD" w:rsidRDefault="00B036D3" w:rsidP="00B036D3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224CDD">
        <w:rPr>
          <w:rFonts w:ascii="Times New Roman" w:hAnsi="Times New Roman"/>
          <w:b w:val="0"/>
          <w:sz w:val="28"/>
          <w:szCs w:val="28"/>
        </w:rPr>
        <w:t xml:space="preserve">2.   </w:t>
      </w:r>
      <w:proofErr w:type="gramStart"/>
      <w:r w:rsidRPr="00224CDD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Pr="00224CDD">
        <w:rPr>
          <w:rFonts w:ascii="Times New Roman" w:hAnsi="Times New Roman"/>
          <w:b w:val="0"/>
          <w:sz w:val="28"/>
          <w:szCs w:val="28"/>
        </w:rPr>
        <w:t xml:space="preserve"> исполнением настоящего решения возложить на постоянную комиссию Совета Нурлатского муниципального района по соблюдению законности и правопорядку. (Ильясов И.Т.)</w:t>
      </w:r>
    </w:p>
    <w:p w:rsidR="00B036D3" w:rsidRPr="00224CDD" w:rsidRDefault="00B036D3" w:rsidP="00B036D3">
      <w:pPr>
        <w:rPr>
          <w:sz w:val="28"/>
          <w:szCs w:val="28"/>
        </w:rPr>
      </w:pPr>
    </w:p>
    <w:p w:rsidR="00B036D3" w:rsidRDefault="00B036D3" w:rsidP="00B036D3">
      <w:pPr>
        <w:jc w:val="both"/>
        <w:rPr>
          <w:snapToGrid w:val="0"/>
          <w:sz w:val="28"/>
          <w:szCs w:val="28"/>
        </w:rPr>
      </w:pPr>
    </w:p>
    <w:p w:rsidR="00B036D3" w:rsidRDefault="00B036D3" w:rsidP="00B036D3">
      <w:pPr>
        <w:jc w:val="both"/>
        <w:rPr>
          <w:snapToGrid w:val="0"/>
          <w:sz w:val="28"/>
          <w:szCs w:val="28"/>
        </w:rPr>
      </w:pPr>
    </w:p>
    <w:p w:rsidR="00B036D3" w:rsidRDefault="00B036D3" w:rsidP="00B036D3">
      <w:pPr>
        <w:jc w:val="both"/>
        <w:rPr>
          <w:snapToGrid w:val="0"/>
          <w:sz w:val="28"/>
          <w:szCs w:val="28"/>
        </w:rPr>
      </w:pPr>
    </w:p>
    <w:p w:rsidR="00B036D3" w:rsidRDefault="00B036D3" w:rsidP="00B036D3">
      <w:pPr>
        <w:jc w:val="both"/>
        <w:rPr>
          <w:snapToGrid w:val="0"/>
          <w:sz w:val="28"/>
          <w:szCs w:val="28"/>
        </w:rPr>
      </w:pPr>
    </w:p>
    <w:p w:rsidR="00B036D3" w:rsidRPr="002B4971" w:rsidRDefault="00B036D3" w:rsidP="00B036D3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2B4971">
        <w:rPr>
          <w:rFonts w:ascii="Times New Roman" w:hAnsi="Times New Roman"/>
          <w:b w:val="0"/>
          <w:sz w:val="28"/>
          <w:szCs w:val="28"/>
        </w:rPr>
        <w:t>Председатель Совета</w:t>
      </w:r>
    </w:p>
    <w:p w:rsidR="00B036D3" w:rsidRDefault="00B036D3" w:rsidP="00B036D3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2B4971">
        <w:rPr>
          <w:rFonts w:ascii="Times New Roman" w:hAnsi="Times New Roman"/>
          <w:b w:val="0"/>
          <w:sz w:val="28"/>
          <w:szCs w:val="28"/>
        </w:rPr>
        <w:t xml:space="preserve">Нурлатского </w:t>
      </w:r>
      <w:proofErr w:type="gramStart"/>
      <w:r w:rsidRPr="002B4971">
        <w:rPr>
          <w:rFonts w:ascii="Times New Roman" w:hAnsi="Times New Roman"/>
          <w:b w:val="0"/>
          <w:sz w:val="28"/>
          <w:szCs w:val="28"/>
        </w:rPr>
        <w:t>муниципального</w:t>
      </w:r>
      <w:proofErr w:type="gramEnd"/>
      <w:r w:rsidRPr="002B4971">
        <w:rPr>
          <w:rFonts w:ascii="Times New Roman" w:hAnsi="Times New Roman"/>
          <w:b w:val="0"/>
          <w:sz w:val="28"/>
          <w:szCs w:val="28"/>
        </w:rPr>
        <w:t xml:space="preserve"> района                                  Н.Ш.Шарапов</w:t>
      </w:r>
    </w:p>
    <w:p w:rsidR="008F3A40" w:rsidRDefault="008F3A40" w:rsidP="00B036D3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8F3A40" w:rsidRDefault="008F3A40" w:rsidP="00B036D3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8F3A40" w:rsidRDefault="008F3A40" w:rsidP="00B036D3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8F3A40" w:rsidRDefault="008F3A40" w:rsidP="00B036D3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8F3A40" w:rsidRDefault="008F3A40" w:rsidP="00B036D3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8F3A40" w:rsidRDefault="008F3A40" w:rsidP="00B036D3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8F3A40" w:rsidRPr="002B4971" w:rsidRDefault="008F3A40" w:rsidP="00B036D3">
      <w:pPr>
        <w:pStyle w:val="11"/>
        <w:shd w:val="clear" w:color="auto" w:fill="FFFFFF"/>
        <w:tabs>
          <w:tab w:val="left" w:pos="10065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B036D3" w:rsidRDefault="00B036D3" w:rsidP="00B036D3">
      <w:pPr>
        <w:jc w:val="both"/>
        <w:rPr>
          <w:snapToGrid w:val="0"/>
          <w:sz w:val="28"/>
          <w:szCs w:val="28"/>
        </w:rPr>
      </w:pPr>
    </w:p>
    <w:p w:rsidR="008F3A40" w:rsidRPr="001474A1" w:rsidRDefault="004F2E0A" w:rsidP="004F2E0A">
      <w:pPr>
        <w:jc w:val="right"/>
      </w:pPr>
      <w:r w:rsidRPr="001474A1">
        <w:lastRenderedPageBreak/>
        <w:t>Приложение</w:t>
      </w:r>
    </w:p>
    <w:p w:rsidR="004F2E0A" w:rsidRPr="001474A1" w:rsidRDefault="004F2E0A" w:rsidP="004F2E0A">
      <w:pPr>
        <w:jc w:val="right"/>
      </w:pPr>
      <w:r w:rsidRPr="001474A1">
        <w:t xml:space="preserve">к решению Совета </w:t>
      </w:r>
    </w:p>
    <w:p w:rsidR="004F2E0A" w:rsidRPr="001474A1" w:rsidRDefault="004F2E0A" w:rsidP="004F2E0A">
      <w:pPr>
        <w:jc w:val="right"/>
      </w:pPr>
      <w:r w:rsidRPr="001474A1">
        <w:t>Нурлатского муниципального района</w:t>
      </w:r>
    </w:p>
    <w:p w:rsidR="004F2E0A" w:rsidRPr="001474A1" w:rsidRDefault="004F2E0A" w:rsidP="004F2E0A">
      <w:pPr>
        <w:jc w:val="right"/>
      </w:pPr>
      <w:r w:rsidRPr="001474A1">
        <w:t>от 21 апреля 2009 года № 237</w:t>
      </w:r>
    </w:p>
    <w:p w:rsidR="001D73AB" w:rsidRPr="004F2E0A" w:rsidRDefault="001D73AB" w:rsidP="004F2E0A">
      <w:pPr>
        <w:jc w:val="right"/>
        <w:rPr>
          <w:b/>
        </w:rPr>
      </w:pPr>
    </w:p>
    <w:p w:rsidR="004F2E0A" w:rsidRDefault="008F3A40" w:rsidP="004F2E0A">
      <w:pPr>
        <w:pStyle w:val="3"/>
        <w:ind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F2E0A">
        <w:rPr>
          <w:rFonts w:ascii="Times New Roman" w:hAnsi="Times New Roman" w:cs="Times New Roman"/>
          <w:color w:val="auto"/>
          <w:sz w:val="28"/>
          <w:szCs w:val="28"/>
        </w:rPr>
        <w:t xml:space="preserve">ПОЛОЖЕНИЕ </w:t>
      </w:r>
    </w:p>
    <w:p w:rsidR="008F3A40" w:rsidRPr="004F2E0A" w:rsidRDefault="008F3A40" w:rsidP="004F2E0A">
      <w:pPr>
        <w:pStyle w:val="3"/>
        <w:ind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F2E0A">
        <w:rPr>
          <w:rFonts w:ascii="Times New Roman" w:hAnsi="Times New Roman" w:cs="Times New Roman"/>
          <w:color w:val="auto"/>
          <w:sz w:val="28"/>
          <w:szCs w:val="28"/>
        </w:rPr>
        <w:t>О ФИНАНСОВО-БЮДЖЕТНОЙ ПАЛАТЕ НУРЛАТСКОГО МУНИЦИПАЛЬНОГО РАЙОНА</w:t>
      </w:r>
    </w:p>
    <w:p w:rsidR="008F3A40" w:rsidRPr="004F2E0A" w:rsidRDefault="008F3A40" w:rsidP="004F2E0A">
      <w:pPr>
        <w:jc w:val="center"/>
        <w:rPr>
          <w:b/>
          <w:sz w:val="28"/>
          <w:szCs w:val="28"/>
        </w:rPr>
      </w:pPr>
      <w:r w:rsidRPr="004F2E0A">
        <w:rPr>
          <w:b/>
          <w:sz w:val="28"/>
          <w:szCs w:val="28"/>
        </w:rPr>
        <w:t>РЕСПУБЛИКИ ТАТАРСТАН</w:t>
      </w:r>
    </w:p>
    <w:p w:rsidR="008F3A40" w:rsidRPr="004F2E0A" w:rsidRDefault="008F3A40" w:rsidP="004F2E0A">
      <w:pPr>
        <w:ind w:right="-1"/>
        <w:rPr>
          <w:b/>
          <w:sz w:val="28"/>
          <w:szCs w:val="28"/>
        </w:rPr>
      </w:pPr>
      <w:r w:rsidRPr="004F2E0A">
        <w:rPr>
          <w:b/>
          <w:sz w:val="28"/>
          <w:szCs w:val="28"/>
        </w:rPr>
        <w:t xml:space="preserve"> </w:t>
      </w:r>
    </w:p>
    <w:p w:rsidR="008F3A40" w:rsidRDefault="008F3A40" w:rsidP="008F3A40">
      <w:pPr>
        <w:ind w:right="-1"/>
        <w:rPr>
          <w:sz w:val="28"/>
        </w:rPr>
      </w:pPr>
    </w:p>
    <w:p w:rsidR="008F3A40" w:rsidRDefault="008F3A40" w:rsidP="008F3A40">
      <w:pPr>
        <w:tabs>
          <w:tab w:val="left" w:pos="3119"/>
        </w:tabs>
        <w:ind w:right="-1"/>
        <w:jc w:val="both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1. Общие положения</w:t>
      </w:r>
    </w:p>
    <w:p w:rsidR="008F3A40" w:rsidRDefault="008F3A40" w:rsidP="008F3A40">
      <w:pPr>
        <w:pStyle w:val="2"/>
        <w:widowControl/>
        <w:ind w:right="-1"/>
      </w:pPr>
      <w:r>
        <w:t xml:space="preserve">1.1. </w:t>
      </w:r>
      <w:proofErr w:type="gramStart"/>
      <w:r>
        <w:t>Финансово-бюджетная палата Нурлатского муниципального района Республики Татарстан (далее Палата) является финансовым органом муниципального района, созданным в целях обслуживания местного бюджета и управления средствами местного бюджета.</w:t>
      </w:r>
      <w:proofErr w:type="gramEnd"/>
    </w:p>
    <w:p w:rsidR="008F3A40" w:rsidRDefault="008F3A40" w:rsidP="008F3A40">
      <w:pPr>
        <w:pStyle w:val="2"/>
        <w:widowControl/>
        <w:ind w:right="-1"/>
      </w:pPr>
      <w:r>
        <w:t>Палата образуется Советом Нурлатского муниципального района Республики Татарстан в форме муниципального учреждения.</w:t>
      </w:r>
    </w:p>
    <w:p w:rsidR="008F3A40" w:rsidRDefault="008F3A40" w:rsidP="008F3A40">
      <w:pPr>
        <w:pStyle w:val="2"/>
        <w:widowControl/>
        <w:ind w:right="-1"/>
      </w:pPr>
      <w:r>
        <w:t>Основной задачей Палаты является составление и исполнение бюджета муниципального района, а также отчета об его исполнении.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 xml:space="preserve">1.2. Палата в своей деятельности руководствуется действующим законодательством, Уставом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района, а также настоящим Положением.</w:t>
      </w:r>
    </w:p>
    <w:p w:rsidR="008F3A40" w:rsidRDefault="008F3A40" w:rsidP="008F3A40">
      <w:pPr>
        <w:tabs>
          <w:tab w:val="left" w:pos="3528"/>
        </w:tabs>
        <w:ind w:left="3168" w:right="-1"/>
        <w:jc w:val="both"/>
        <w:rPr>
          <w:b/>
          <w:sz w:val="28"/>
        </w:rPr>
      </w:pPr>
      <w:r>
        <w:rPr>
          <w:b/>
          <w:sz w:val="28"/>
        </w:rPr>
        <w:t xml:space="preserve">          2. Задачи палаты.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2.1.Основными задачами Палаты являются: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2.1.1. разработка и реализация единой финансовой, бюджетной и налоговой политики на территории муниципального района;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 xml:space="preserve">2.1.2. составление проекта местного бюджета и обеспечение его исполнения в установленном порядке; 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2.1.3. составление отчета об исполнении местного бюджета и консолидированного бюджета муниципального района;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2.1.4. разработка программ муниципальных заимствований и их реализация в установленном порядке;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2.1.5. обеспечение взаимодействия с федеральными органами исполнительной власти, органами исполнительной власти Республики Татарстан, органами местного самоуправления, общественными объединениями и иными организациями.</w:t>
      </w:r>
    </w:p>
    <w:p w:rsidR="008F3A40" w:rsidRDefault="008F3A40" w:rsidP="008F3A40">
      <w:pPr>
        <w:ind w:right="-1"/>
        <w:jc w:val="both"/>
        <w:rPr>
          <w:sz w:val="28"/>
        </w:rPr>
      </w:pPr>
    </w:p>
    <w:p w:rsidR="008F3A40" w:rsidRDefault="008F3A40" w:rsidP="008F3A40">
      <w:pPr>
        <w:ind w:right="-1"/>
        <w:jc w:val="center"/>
        <w:rPr>
          <w:sz w:val="28"/>
        </w:rPr>
      </w:pPr>
      <w:r>
        <w:rPr>
          <w:b/>
          <w:sz w:val="28"/>
        </w:rPr>
        <w:t xml:space="preserve">      3. Функции Палаты</w:t>
      </w:r>
      <w:r>
        <w:rPr>
          <w:sz w:val="28"/>
        </w:rPr>
        <w:t>.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3.1. Палата в соответствии с возложенными на нее задачами выполняет следующие основные функции: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3.1.1. подготавливает предложения и реализует меры по совершенствованию межбюджетных отношений;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3.1.2. участвует в установленном порядке в разработке прогнозов социально - экономического развития территории муниципального района;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lastRenderedPageBreak/>
        <w:t>3.1.3. проводит мониторинг налоговых платежей крупных налогоплательщиков;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3.1.4. участвует в подготовке муниципальных целевых программ, обеспечивает в установленном порядке их финансирование за счет средств местного бюджета;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3.1.5. участвует в установленном порядке в разработке проектов решений Совета муниципального района о бюджете и иных муниципальных правовых актов;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 xml:space="preserve">3.1.6. разрабатывает и издает в установленном порядке муниципальные правовые акты по вопросам, относящимся к своей компетенции; 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3.1.7. составляет проект местного бюджета и представляет его в Исполнительный комитет муниципального района;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3.1.8. разрабатывает прогноз консолидированного бюджета муниципального района;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3.1.9. исполняет в пределах своей компетенции местный бюджет, составляет отчет об исполнении  местного бюджета и консолидированного бюджета муниципального района;</w:t>
      </w:r>
    </w:p>
    <w:p w:rsidR="008F3A40" w:rsidRDefault="008F3A40" w:rsidP="008F3A40">
      <w:pPr>
        <w:pStyle w:val="a5"/>
        <w:widowControl/>
        <w:ind w:right="-1"/>
        <w:rPr>
          <w:b w:val="0"/>
        </w:rPr>
      </w:pPr>
      <w:r>
        <w:rPr>
          <w:b w:val="0"/>
        </w:rPr>
        <w:t>3.1.10. представляет отчет об исполнении местного бюджета Совету муниципального района и  Исполнительному комитету муниципального района;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3.1.11. составляет бюджетную роспись местного бюджета;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3.1.12. осуществляет финансовый контроль в порядке, установленном Бюджетным кодексом РФ;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 xml:space="preserve">3.1.13. участвует в разработке предложений по совершенствованию структуры органов местного самоуправления; подготавливает предложения о предельной численности и о размере ассигнований на содержание аппаратов органов местного самоуправления муниципального района; принимает участие в подготовке предложений по совершенствованию </w:t>
      </w:r>
      <w:proofErr w:type="gramStart"/>
      <w:r>
        <w:rPr>
          <w:sz w:val="28"/>
        </w:rPr>
        <w:t>системы оплаты труда работников муниципальных учреждений</w:t>
      </w:r>
      <w:proofErr w:type="gramEnd"/>
      <w:r>
        <w:rPr>
          <w:sz w:val="28"/>
        </w:rPr>
        <w:t>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3.1.14. подготавливает предложения, направленные на повышение результативности бюджетных расходов;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 xml:space="preserve">3.1.15. участвует в разработке предложений  по совершенствованию налоговой политики; 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3.1.16. дает разъяснения по вопросам применения нормативных правовых актов органов местного самоуправления  о местных налогах и сборах;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3.1.17. реализует политику в области эмиссии и размещения муниципальных ценных бумаг;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3.1.18. разрабатывает и реализует единую политику в области формирования структуры муниципальных заимствований;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 xml:space="preserve">3.1.19. предоставляет по поручению руководителя Исполнительного комитета муниципального района от имени муниципального района  муниципальные  гарантии в пределах объема обязательств по муниципальным гарантиям, установленного решением Совета </w:t>
      </w:r>
      <w:r>
        <w:rPr>
          <w:sz w:val="28"/>
        </w:rPr>
        <w:lastRenderedPageBreak/>
        <w:t>муниципального района о бюджете муниципального района на очередной финансовый год;</w:t>
      </w:r>
    </w:p>
    <w:p w:rsidR="008F3A40" w:rsidRDefault="008F3A40" w:rsidP="008F3A40">
      <w:pPr>
        <w:ind w:right="-1" w:firstLine="708"/>
        <w:jc w:val="both"/>
        <w:rPr>
          <w:sz w:val="28"/>
        </w:rPr>
      </w:pPr>
    </w:p>
    <w:p w:rsidR="008F3A40" w:rsidRDefault="008F3A40" w:rsidP="008F3A40">
      <w:pPr>
        <w:ind w:right="-1" w:firstLine="708"/>
        <w:jc w:val="both"/>
        <w:rPr>
          <w:sz w:val="28"/>
        </w:rPr>
      </w:pP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3.1.20. выступает в установленном порядке в качестве эмитента муниципальных ценных бумаг, разрабатывает условия выпуска и размещения муниципальных займов;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3.1.21. ведет муниципальную долговую книгу;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 xml:space="preserve">3.1.22. ведет реестр расходных обязательств муниципального образования; 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 xml:space="preserve">3.1.23. обеспечивает исполнение предоставления бюджетных кредитов в пределах лимита средств, утвержденного решением Совета муниципального района о бюджете на очередной финансовый год, и в порядке, установленном Исполнительным комитетом муниципального района;   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3.1.24. осуществляет необходимые меры по совершенствованию структуры муниципального внутреннего долга и оптимизации расходов по его обслуживанию;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 xml:space="preserve">3.1.25. подготавливает предложения по формированию и использованию средств целевых бюджетных фондов; 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 xml:space="preserve">3.1.26. осуществляет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получателями бюджетных средств, в том числе получателями бюджетных кредитов и муниципальных гарантий, условий выделения, получения, целевого использования и возврата бюджетных средств; 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3.1.27. осуществляет функции главного распорядителя и получателя средств местного бюджета;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 xml:space="preserve">3.1.28. осуществляет иные функции, предусмотренные действующим законодательством. </w:t>
      </w:r>
    </w:p>
    <w:p w:rsidR="008F3A40" w:rsidRDefault="008F3A40" w:rsidP="008F3A40">
      <w:pPr>
        <w:ind w:right="-1"/>
        <w:jc w:val="center"/>
        <w:rPr>
          <w:b/>
          <w:sz w:val="28"/>
        </w:rPr>
      </w:pPr>
    </w:p>
    <w:p w:rsidR="008F3A40" w:rsidRDefault="008F3A40" w:rsidP="008F3A40">
      <w:pPr>
        <w:ind w:right="-1"/>
        <w:jc w:val="center"/>
        <w:rPr>
          <w:b/>
          <w:sz w:val="28"/>
        </w:rPr>
      </w:pPr>
      <w:r>
        <w:rPr>
          <w:b/>
          <w:sz w:val="28"/>
        </w:rPr>
        <w:t>4. Права Палаты.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4.1. Палата  имеет право: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 xml:space="preserve">4.1.1. запрашивать и получать в установленном порядке материалы, необходимые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>: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разработки проекта местного бюджета;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расчета прогноза консолидированного бюджета муниципального района;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составления отчета об исполнении местного бюджета;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составления отчета об исполнении консолидированного бюджета муниципального района;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4.1.2. запрашивать и получать в установленном порядке материалы по целевым бюджетным фондам;</w:t>
      </w:r>
    </w:p>
    <w:p w:rsidR="008F3A40" w:rsidRDefault="008F3A40" w:rsidP="008F3A40">
      <w:pPr>
        <w:pStyle w:val="31"/>
        <w:widowControl/>
        <w:spacing w:line="240" w:lineRule="auto"/>
      </w:pPr>
      <w:r>
        <w:t>4.1.3. запрашивать и получать в установленном порядке сведения, необходимые для принятия решений по отнесенным к компетенции Палаты вопросам;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lastRenderedPageBreak/>
        <w:t>4.1.4. применять в соответствии с законодательством меры принуждения к нарушителям бюджетного законодательства;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 xml:space="preserve">4.1.5. согласовывать в порядке, установленном законодательством Российской Федерации о налогах и сборах, решения об изменении сроков уплаты налогов и сборов. </w:t>
      </w:r>
    </w:p>
    <w:p w:rsidR="008F3A40" w:rsidRDefault="008F3A40" w:rsidP="008F3A40">
      <w:pPr>
        <w:ind w:right="-1"/>
        <w:jc w:val="both"/>
        <w:rPr>
          <w:sz w:val="28"/>
        </w:rPr>
      </w:pPr>
    </w:p>
    <w:p w:rsidR="008F3A40" w:rsidRDefault="008F3A40" w:rsidP="008F3A40">
      <w:pPr>
        <w:ind w:right="-1"/>
        <w:jc w:val="center"/>
        <w:rPr>
          <w:b/>
          <w:sz w:val="28"/>
        </w:rPr>
      </w:pPr>
      <w:r>
        <w:rPr>
          <w:b/>
          <w:sz w:val="28"/>
        </w:rPr>
        <w:t>5. Организация работы Палаты.</w:t>
      </w:r>
    </w:p>
    <w:p w:rsidR="008F3A40" w:rsidRDefault="008F3A40" w:rsidP="008F3A40">
      <w:pPr>
        <w:pStyle w:val="Noeeu1"/>
        <w:widowControl/>
        <w:spacing w:line="240" w:lineRule="auto"/>
        <w:ind w:right="142" w:firstLine="567"/>
        <w:jc w:val="both"/>
      </w:pPr>
      <w:r>
        <w:t xml:space="preserve">5.1. Палату возглавляет председатель, который осуществляет общее руководство деятельностью Палаты. Председатель Палаты назначается на должность Советом </w:t>
      </w:r>
      <w:proofErr w:type="gramStart"/>
      <w:r>
        <w:t>муниципального</w:t>
      </w:r>
      <w:proofErr w:type="gramEnd"/>
      <w:r>
        <w:t xml:space="preserve"> района по предложению Главы муниципального района. Председатель Палаты является  по должности заместителем руководителя Исполнительного комитета муниципального района.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5.2. Заместители председателя Палаты назначаются руководителем Исполнительного комитета муниципального района по представлению председателя Палаты.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5.3. Председатель Палаты: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руководит деятельностью Палаты на основе единоначалия;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распределяет обязанности между работниками Палаты;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 xml:space="preserve">вносит в установленном порядке на рассмотрение в Исполнительный комитет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района проекты нормативных правовых актов по вопросам, входящим в компетенцию Палаты;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назначает в установленном порядке на должность и освобождает от должности работников аппарата Палаты;</w:t>
      </w:r>
    </w:p>
    <w:p w:rsidR="008F3A40" w:rsidRDefault="008F3A40" w:rsidP="008F3A40">
      <w:pPr>
        <w:ind w:right="-1" w:firstLine="708"/>
        <w:jc w:val="both"/>
        <w:rPr>
          <w:sz w:val="28"/>
        </w:rPr>
      </w:pPr>
      <w:r>
        <w:rPr>
          <w:sz w:val="28"/>
        </w:rPr>
        <w:t>осуществляет другие полномочия в соответствии с законодательством, уставом муниципального района и настоящим Положением.</w:t>
      </w:r>
    </w:p>
    <w:p w:rsidR="008F3A40" w:rsidRDefault="008F3A40" w:rsidP="008F3A40">
      <w:pPr>
        <w:pStyle w:val="31"/>
        <w:widowControl/>
        <w:spacing w:line="240" w:lineRule="auto"/>
      </w:pPr>
      <w:r>
        <w:t xml:space="preserve">5.4. Финансирование расходов на содержание аппарата Палаты  осуществляется за счет средств местного бюджета. </w:t>
      </w:r>
    </w:p>
    <w:p w:rsidR="00B036D3" w:rsidRDefault="00B036D3" w:rsidP="00B036D3">
      <w:pPr>
        <w:jc w:val="both"/>
        <w:rPr>
          <w:snapToGrid w:val="0"/>
          <w:sz w:val="28"/>
          <w:szCs w:val="28"/>
        </w:rPr>
      </w:pPr>
    </w:p>
    <w:p w:rsidR="008F3A40" w:rsidRDefault="008F3A40" w:rsidP="00B036D3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_________________________________________________________________</w:t>
      </w:r>
    </w:p>
    <w:p w:rsidR="003F3FE7" w:rsidRDefault="003F3FE7"/>
    <w:sectPr w:rsidR="003F3FE7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036D3"/>
    <w:rsid w:val="001474A1"/>
    <w:rsid w:val="001D73AB"/>
    <w:rsid w:val="00374F70"/>
    <w:rsid w:val="003F3FE7"/>
    <w:rsid w:val="004F2E0A"/>
    <w:rsid w:val="005114AD"/>
    <w:rsid w:val="008F3A40"/>
    <w:rsid w:val="00B036D3"/>
    <w:rsid w:val="00F9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36D3"/>
    <w:pPr>
      <w:keepNext/>
      <w:jc w:val="right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A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6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B036D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12">
    <w:name w:val="Знак1"/>
    <w:basedOn w:val="a"/>
    <w:rsid w:val="00B036D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B03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6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F3A4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13">
    <w:name w:val="Стиль1"/>
    <w:basedOn w:val="a"/>
    <w:rsid w:val="008F3A40"/>
    <w:pPr>
      <w:widowControl w:val="0"/>
      <w:spacing w:line="288" w:lineRule="auto"/>
    </w:pPr>
    <w:rPr>
      <w:sz w:val="28"/>
    </w:rPr>
  </w:style>
  <w:style w:type="paragraph" w:styleId="a5">
    <w:name w:val="Body Text Indent"/>
    <w:basedOn w:val="a"/>
    <w:link w:val="a6"/>
    <w:rsid w:val="008F3A40"/>
    <w:pPr>
      <w:widowControl w:val="0"/>
      <w:ind w:firstLine="708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8F3A4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8F3A40"/>
    <w:pPr>
      <w:widowControl w:val="0"/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F3A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F3A40"/>
    <w:pPr>
      <w:widowControl w:val="0"/>
      <w:spacing w:line="360" w:lineRule="auto"/>
      <w:ind w:right="-1"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F3A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8F3A40"/>
    <w:pPr>
      <w:widowControl w:val="0"/>
      <w:spacing w:line="288" w:lineRule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8</cp:revision>
  <dcterms:created xsi:type="dcterms:W3CDTF">2011-09-27T04:49:00Z</dcterms:created>
  <dcterms:modified xsi:type="dcterms:W3CDTF">2011-09-28T06:10:00Z</dcterms:modified>
</cp:coreProperties>
</file>