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9494"/>
      </w:tblGrid>
      <w:tr w:rsidR="009277B3" w:rsidRPr="009277B3" w:rsidTr="00C1141A">
        <w:trPr>
          <w:tblCellSpacing w:w="0" w:type="dxa"/>
        </w:trPr>
        <w:tc>
          <w:tcPr>
            <w:tcW w:w="215" w:type="pct"/>
            <w:vAlign w:val="center"/>
            <w:hideMark/>
          </w:tcPr>
          <w:p w:rsidR="009277B3" w:rsidRPr="009277B3" w:rsidRDefault="009277B3" w:rsidP="0092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9277B3">
              <w:rPr>
                <w:rFonts w:ascii="Times New Roman" w:eastAsia="Times New Roman" w:hAnsi="Times New Roman" w:cs="Times New Roman"/>
                <w:noProof/>
                <w:color w:val="4F4F4F"/>
                <w:sz w:val="24"/>
                <w:szCs w:val="24"/>
                <w:lang w:eastAsia="ru-RU"/>
              </w:rPr>
              <w:drawing>
                <wp:inline distT="0" distB="0" distL="0" distR="0" wp14:anchorId="056BBF95" wp14:editId="1337630F">
                  <wp:extent cx="236220" cy="7620"/>
                  <wp:effectExtent l="0" t="0" r="0" b="0"/>
                  <wp:docPr id="1" name="Рисунок 1" descr="https://www.53.rospotrebnadzor.ru/wp-content/themes/rospotrebnadzor/img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53.rospotrebnadzor.ru/wp-content/themes/rospotrebnadzor/img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pct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4"/>
            </w:tblGrid>
            <w:tr w:rsidR="009277B3" w:rsidRPr="009277B3" w:rsidTr="00C1141A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C1141A" w:rsidRPr="00C1141A" w:rsidRDefault="00C1141A" w:rsidP="00C1141A">
                  <w:pPr>
                    <w:spacing w:after="12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ab/>
                  </w:r>
                </w:p>
                <w:p w:rsidR="00C1141A" w:rsidRPr="00C1141A" w:rsidRDefault="00C1141A" w:rsidP="00C1141A">
                  <w:pPr>
                    <w:spacing w:after="12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484362"/>
                      <w:sz w:val="28"/>
                      <w:szCs w:val="28"/>
                      <w:lang w:eastAsia="ru-RU"/>
                    </w:rPr>
                  </w:pPr>
                  <w:bookmarkStart w:id="0" w:name="_GoBack"/>
                  <w:r w:rsidRPr="00C1141A">
                    <w:rPr>
                      <w:rFonts w:ascii="Times New Roman" w:eastAsia="Times New Roman" w:hAnsi="Times New Roman" w:cs="Times New Roman"/>
                      <w:b/>
                      <w:bCs/>
                      <w:color w:val="484362"/>
                      <w:sz w:val="28"/>
                      <w:szCs w:val="28"/>
                      <w:lang w:eastAsia="ru-RU"/>
                    </w:rPr>
                    <w:t>Электронные кошельки: какие существуют и зачем нужны</w:t>
                  </w:r>
                </w:p>
                <w:bookmarkEnd w:id="0"/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Переводить деньги и оплачивать покупки в интернет-магазинах можно не только банковской картой. Кому-то удобнее это делать с помощью электронного кошелька. Рассказываем об особенностях и преимуществах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 xml:space="preserve"> этого финансового инструмента.</w:t>
                  </w: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Если нужно оплатить покупку онлайн, пополнить баланс телефона либо перевести деньги другу на день рождения, то электронный кошелек подходит для этих целей. Перевод ждать не придется, 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ранзакции происходят мгновенно.</w:t>
                  </w: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 xml:space="preserve">Электронные кошельки – или, как они называются в законе, «электронное средство платежа» – похожи на банковский счет, но деньги хранит не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банк, а компьютерная программа.</w:t>
                  </w: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 xml:space="preserve">Чтобы завести электронный кошелек, нужно определиться с оператором электронных денежных средств и заключить с ним договор. Предварительно стоит обратить внимание на условия: тарифы на переводы, комиссии за пополнение и снятие средств,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срок хранения денег в кошельке.</w:t>
                  </w: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  <w:r w:rsidRPr="00C1141A">
                    <w:rPr>
                      <w:rFonts w:ascii="Times New Roman" w:eastAsia="Times New Roman" w:hAnsi="Times New Roman" w:cs="Times New Roman"/>
                      <w:b/>
                      <w:bCs/>
                      <w:color w:val="484362"/>
                      <w:sz w:val="24"/>
                      <w:szCs w:val="24"/>
                      <w:lang w:eastAsia="ru-RU"/>
                    </w:rPr>
                    <w:t>Виды электронных кошельков</w:t>
                  </w: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Электронные кошельки бывают разных видов в зависимости от объема информации, которой клиент готов поделиться с операторо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м электронных денежных средств:</w:t>
                  </w: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  <w:r w:rsidRPr="00C1141A">
                    <w:rPr>
                      <w:rFonts w:ascii="Times New Roman" w:eastAsia="Times New Roman" w:hAnsi="Times New Roman" w:cs="Times New Roman"/>
                      <w:b/>
                      <w:bCs/>
                      <w:color w:val="484362"/>
                      <w:sz w:val="24"/>
                      <w:szCs w:val="24"/>
                      <w:lang w:eastAsia="ru-RU"/>
                    </w:rPr>
                    <w:t>Анонимный.</w:t>
                  </w:r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 xml:space="preserve"> Чтобы завести такой кошелек, достаточно указать на сайте оператора ЭДС номер телефона и придумать логин к аккаунту. В таком кошельке допустимо держать сумму до 15 тыс. рублей, а общий объем переводов ограничивается 40 тыс. рублей в месяц. Такой кошелек можно использовать для оплаты покупок в интернет-магазинах, а вот переводить деньги и получать переводы не получится. Опция вывода средств с такого кошелька на банковскую карту также закрыта.</w:t>
                  </w: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  <w:r w:rsidRPr="00C1141A">
                    <w:rPr>
                      <w:rFonts w:ascii="Times New Roman" w:eastAsia="Times New Roman" w:hAnsi="Times New Roman" w:cs="Times New Roman"/>
                      <w:b/>
                      <w:bCs/>
                      <w:color w:val="484362"/>
                      <w:sz w:val="24"/>
                      <w:szCs w:val="24"/>
                      <w:lang w:eastAsia="ru-RU"/>
                    </w:rPr>
                    <w:t>Именной.</w:t>
                  </w:r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 xml:space="preserve"> Регистрация такого кошелька также происходит через сайт оператора ЭДС, но требует больше персональных данных. Это имя и фамилия держателя, а также данные российского паспорта. Единовременно в кошельке может находиться до 60 тыс. рублей, переводить в месяц разрешено 200 тыс. рублей. Помимо оплаты товаров и услуг в интернете, такой кошелек позволяет переводить деньги на другие кошельки или банковские карты. Можно также в дополнение к кошельку выпустить специальную карту: расплачиваться с ее помощью в офлайн-магазинах, ресторанах, а также снимать наличные в пределах лимита, который составляет 5 тыс. рублей в день или 40 тыс. рублей в месяц.</w:t>
                  </w: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  <w:r w:rsidRPr="00C1141A">
                    <w:rPr>
                      <w:rFonts w:ascii="Times New Roman" w:eastAsia="Times New Roman" w:hAnsi="Times New Roman" w:cs="Times New Roman"/>
                      <w:b/>
                      <w:bCs/>
                      <w:color w:val="484362"/>
                      <w:sz w:val="24"/>
                      <w:szCs w:val="24"/>
                      <w:lang w:eastAsia="ru-RU"/>
                    </w:rPr>
                    <w:t>Персонифицированны</w:t>
                  </w:r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 xml:space="preserve">й. Чтобы завести такой кошелек, требуется с паспортом посетить офис оператора ЭДС либо одного из партнеров (чаще всего это компании сотовой связи). Держать на таком кошельке можно как рубли, так и валюту. Главное, чтобы общая сумма не превышала лимит в 600 тыс. рублей. При этом общий объем переводов в месяц не ограничивается. Для держателей таких кошельков становятся доступны не только переводы на другие электронные кошельки и банковские карты, но и на любые банковские счета – в </w:t>
                  </w:r>
                  <w:proofErr w:type="spellStart"/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. иностранные. К такому кошельку также в дополнение можно выпустить карту для расчетов офлайн и снятия средств.</w:t>
                  </w: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lastRenderedPageBreak/>
                    <w:t>Принцип работы анонимного, именного и персонифицированного кошельков один, однако условия и тарифы могут отличаться в зависимости от оператора ЭДС. Анонимный кошелек можно сделать именным и персонифицированным. Для этого нужно предоставить оператору ЭДС дополнительные данные.</w:t>
                  </w: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84362"/>
                      <w:sz w:val="24"/>
                      <w:szCs w:val="24"/>
                      <w:lang w:eastAsia="ru-RU"/>
                    </w:rPr>
                    <w:t>Преимущества</w:t>
                  </w: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Безопасность расчетов — вот главное, за что ценят электронные кошельки. Мгновенно пополнив кошелек с банковской карты, можно расплатиться в интернете за покупки и сохранить в тайне персональные данные. Особенно это важно при оплате на малоизвестных сайтах и интернет-площадках: не нужно указывать почту, имя, номер банковской карты (включая самую важную для безопасности информацию – CVC-код, который расположен на обратной стороне). И даже если электронный кошелек окажется скомпрометированным, то злоумышленники не смогут через него получить доступ к банковск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ому счету и завладеть деньгами.</w:t>
                  </w: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 xml:space="preserve">И кстати, физическую карту от электронного кошелька тоже можно завести и расплачиваться ею в обычных магазинах и на рынках. Таким образом также обезопасить свою банковскую карту от </w:t>
                  </w:r>
                  <w:proofErr w:type="spellStart"/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скимминга</w:t>
                  </w:r>
                  <w:proofErr w:type="spellEnd"/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: это когда с помощью специальных устройств мошенники считывают данные карты, а затем, используя их, кра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дут деньги с банковского счета.</w:t>
                  </w: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Другой плюс электронного кошелька – простота и быстрота: не надо тратить время и усилия на заполнение данных карты, а транзакция проходит мгновенно вне зависимости от времени суток,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 xml:space="preserve"> выходных или праздничных дней.</w:t>
                  </w: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 xml:space="preserve">При этом у электронных кошельков, как правило, есть такие же преимущества, как у банковских карт в виде </w:t>
                  </w:r>
                  <w:proofErr w:type="spellStart"/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кешбэков</w:t>
                  </w:r>
                  <w:proofErr w:type="spellEnd"/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 xml:space="preserve">, скидок, </w:t>
                  </w:r>
                  <w:proofErr w:type="spellStart"/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спецусловий</w:t>
                  </w:r>
                  <w:proofErr w:type="spellEnd"/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 xml:space="preserve"> по партнерским программам и других бонусов. Их можно узнать на сайте оператора электронного держателя средств.</w:t>
                  </w: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84362"/>
                      <w:sz w:val="24"/>
                      <w:szCs w:val="24"/>
                      <w:lang w:eastAsia="ru-RU"/>
                    </w:rPr>
                    <w:t>Недостатки</w:t>
                  </w: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Главное отличие электронных кошельков от банковских счетов и вкладов – отсутствие государственной страховки. Если с оператором ЭДС что-то случится, например Банк России отзовет у него лицензию, то агентство по страхованию вкладов (АСВ) не будет возмещать потери средств, которые наход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ились на электронных кошельках.</w:t>
                  </w: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 xml:space="preserve">Так произошло с электронными кошельками от QIWI Банка, у которого 21 февраля 2024 года Банк России отозвал лицензию. Регулятор </w:t>
                  </w:r>
                  <w:proofErr w:type="gramStart"/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тогда  сообщил</w:t>
                  </w:r>
                  <w:proofErr w:type="gramEnd"/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, что деньги на электронных кошельках не застрахованы, клиенты смогут рассчитывать на компенсацию только во время процедуры конкурсного производства, когда активы банка распродаются, а вырученные средства р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аспределяются среди кредиторов.</w:t>
                  </w: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 xml:space="preserve">К недостаткам электронных кошельков можно также отнести то, что на сумму баланса не начисляются проценты. То есть, заработать на размещении средств не получится. Лучше выбирать для этого другие более подходящие инструменты – например, банковские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вклады или накопительные счета.</w:t>
                  </w: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Таким образом, электронные кошельки могут быть удобным и главное — безопасным инструментом для оплаты товаров или услуг в интернет-магазинах, а также для перевода средств другим лицам (исключение: анонимные кошельки). Однако больших преимуществ в сравнении с обычным счетом или банковской картой вы не получите.</w:t>
                  </w: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  <w:r w:rsidRPr="00C1141A">
                    <w:rPr>
                      <w:rFonts w:ascii="Times New Roman" w:eastAsia="Times New Roman" w:hAnsi="Times New Roman" w:cs="Times New Roman"/>
                      <w:b/>
                      <w:bCs/>
                      <w:color w:val="484362"/>
                      <w:sz w:val="24"/>
                      <w:szCs w:val="24"/>
                      <w:lang w:eastAsia="ru-RU"/>
                    </w:rPr>
                    <w:lastRenderedPageBreak/>
                    <w:t>Иностранные кошельки</w:t>
                  </w: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 xml:space="preserve">Помимо российских операторов электронных денежных средств (ЭДС), реестр которых ведет ЦБ, также существуют аналогичные иностранные сервисы – например, </w:t>
                  </w:r>
                  <w:proofErr w:type="spellStart"/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Skrill</w:t>
                  </w:r>
                  <w:proofErr w:type="spellEnd"/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Alipay</w:t>
                  </w:r>
                  <w:proofErr w:type="spellEnd"/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 xml:space="preserve">. Однако с 1 июля 2022 года использование иностранных электронных кошельков в России значительно ограничено. Российским организациям, индивидуальным предпринимателям, </w:t>
                  </w:r>
                  <w:proofErr w:type="spellStart"/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самозанятым</w:t>
                  </w:r>
                  <w:proofErr w:type="spellEnd"/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, а также всем физически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м лицам нельзя:</w:t>
                  </w: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принимать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 xml:space="preserve"> оплату на зарубежные кошельки,</w:t>
                  </w: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использовать</w:t>
                  </w:r>
                  <w:proofErr w:type="gramEnd"/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 xml:space="preserve"> д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ля внешнеторговой деятельности,</w:t>
                  </w: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отправлять</w:t>
                  </w:r>
                  <w:proofErr w:type="gramEnd"/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 xml:space="preserve"> деньги через электронные кошельки ко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му-то в долг по договору займа,</w:t>
                  </w: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получать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 xml:space="preserve"> займы.</w:t>
                  </w: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Все пользователи иностранных электронных кошельков обязаны отчитываться о движении средств в том случае, если объем переводов превысил 600 тыс. рублей в год. Это правило касается физических лиц, индивидуальных предпринимателей (ИП) и компаний.</w:t>
                  </w: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</w:p>
                <w:p w:rsidR="00C1141A" w:rsidRPr="00C1141A" w:rsidRDefault="00C1141A" w:rsidP="00C1141A">
                  <w:pPr>
                    <w:spacing w:after="12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</w:pPr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 xml:space="preserve">За несданный вовремя отчет или перевод денег в неразрешенных законом случаях нарушителям грозит административная, а в исключительных случаях и уголовная ответственность. Например, размер штрафа зависит от вида совершенного правонарушения и исчисляется в процентах от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суммы незаконного перевода.</w:t>
                  </w:r>
                </w:p>
                <w:p w:rsidR="009277B3" w:rsidRPr="009277B3" w:rsidRDefault="00C1141A" w:rsidP="00C1141A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ru-RU"/>
                    </w:rPr>
                  </w:pPr>
                  <w:r w:rsidRPr="00C1141A">
                    <w:rPr>
                      <w:rFonts w:ascii="Times New Roman" w:eastAsia="Times New Roman" w:hAnsi="Times New Roman" w:cs="Times New Roman"/>
                      <w:bCs/>
                      <w:color w:val="484362"/>
                      <w:sz w:val="24"/>
                      <w:szCs w:val="24"/>
                      <w:lang w:eastAsia="ru-RU"/>
                    </w:rPr>
                    <w:t>Фактически иностранными электронными кошельками можно пользоваться гражданам только для того, чтобы купить что-то через интернет в иностранных магазинах и чтобы получить или отправить перевод родственникам или друзьям. Однако и это в настоящее время невозможно в связи с антироссийскими санкциями.</w:t>
                  </w:r>
                </w:p>
              </w:tc>
            </w:tr>
          </w:tbl>
          <w:p w:rsidR="009277B3" w:rsidRPr="009277B3" w:rsidRDefault="009277B3" w:rsidP="0092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</w:tr>
    </w:tbl>
    <w:p w:rsidR="00010BC1" w:rsidRPr="003A4B08" w:rsidRDefault="003A4B08" w:rsidP="00FA6ECF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 w:rsidR="006F2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00C73" w:rsidRPr="003A4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Нурлатский</w:t>
      </w:r>
      <w:proofErr w:type="spellEnd"/>
      <w:r w:rsidR="00500C73" w:rsidRPr="003A4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ТО Управления </w:t>
      </w:r>
      <w:proofErr w:type="spellStart"/>
      <w:r w:rsidR="00500C73" w:rsidRPr="003A4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Роспотребнадзора</w:t>
      </w:r>
      <w:proofErr w:type="spellEnd"/>
      <w:r w:rsidR="00500C73" w:rsidRPr="003A4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по РТ (Татарстан)</w:t>
      </w:r>
    </w:p>
    <w:sectPr w:rsidR="00010BC1" w:rsidRPr="003A4B08" w:rsidSect="00C1141A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EC4"/>
    <w:multiLevelType w:val="multilevel"/>
    <w:tmpl w:val="6A9E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93A43"/>
    <w:multiLevelType w:val="multilevel"/>
    <w:tmpl w:val="B166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273A7"/>
    <w:multiLevelType w:val="multilevel"/>
    <w:tmpl w:val="2D12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B633FB"/>
    <w:multiLevelType w:val="multilevel"/>
    <w:tmpl w:val="E06C0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20DD5"/>
    <w:multiLevelType w:val="multilevel"/>
    <w:tmpl w:val="8F56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B6D77"/>
    <w:multiLevelType w:val="multilevel"/>
    <w:tmpl w:val="9730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AF0B25"/>
    <w:multiLevelType w:val="multilevel"/>
    <w:tmpl w:val="8330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309F4"/>
    <w:multiLevelType w:val="multilevel"/>
    <w:tmpl w:val="F998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E47939"/>
    <w:multiLevelType w:val="multilevel"/>
    <w:tmpl w:val="BDE8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0324C1"/>
    <w:multiLevelType w:val="multilevel"/>
    <w:tmpl w:val="7E68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1E524F"/>
    <w:multiLevelType w:val="multilevel"/>
    <w:tmpl w:val="DD70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B23541"/>
    <w:multiLevelType w:val="multilevel"/>
    <w:tmpl w:val="67AE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164276"/>
    <w:multiLevelType w:val="multilevel"/>
    <w:tmpl w:val="EDBC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C4"/>
    <w:rsid w:val="00010BC1"/>
    <w:rsid w:val="000E6A45"/>
    <w:rsid w:val="001075D9"/>
    <w:rsid w:val="001270BA"/>
    <w:rsid w:val="001B48F0"/>
    <w:rsid w:val="0026766E"/>
    <w:rsid w:val="003A4B08"/>
    <w:rsid w:val="003B31CD"/>
    <w:rsid w:val="003C59E6"/>
    <w:rsid w:val="004974BF"/>
    <w:rsid w:val="00500C73"/>
    <w:rsid w:val="005359C4"/>
    <w:rsid w:val="005C2476"/>
    <w:rsid w:val="00662396"/>
    <w:rsid w:val="00663CF7"/>
    <w:rsid w:val="006C5AB4"/>
    <w:rsid w:val="006F215A"/>
    <w:rsid w:val="007E5FA6"/>
    <w:rsid w:val="0080403F"/>
    <w:rsid w:val="00840E0C"/>
    <w:rsid w:val="00845C5A"/>
    <w:rsid w:val="00873B79"/>
    <w:rsid w:val="00881B95"/>
    <w:rsid w:val="008F003D"/>
    <w:rsid w:val="009277B3"/>
    <w:rsid w:val="00974E99"/>
    <w:rsid w:val="009B3AF5"/>
    <w:rsid w:val="009F787F"/>
    <w:rsid w:val="00A1356C"/>
    <w:rsid w:val="00B162EC"/>
    <w:rsid w:val="00BE1D4E"/>
    <w:rsid w:val="00BF578D"/>
    <w:rsid w:val="00C1141A"/>
    <w:rsid w:val="00C2635A"/>
    <w:rsid w:val="00CA46BC"/>
    <w:rsid w:val="00D07BCD"/>
    <w:rsid w:val="00D30545"/>
    <w:rsid w:val="00D76EE3"/>
    <w:rsid w:val="00DA2C66"/>
    <w:rsid w:val="00DF0330"/>
    <w:rsid w:val="00E174BB"/>
    <w:rsid w:val="00EA670C"/>
    <w:rsid w:val="00F42E1D"/>
    <w:rsid w:val="00FA6ECF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BB7A6-ED39-482C-AF03-68C42FBE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C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00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0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6A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782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176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4462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1039">
          <w:blockQuote w:val="1"/>
          <w:marLeft w:val="0"/>
          <w:marRight w:val="0"/>
          <w:marTop w:val="0"/>
          <w:marBottom w:val="120"/>
          <w:divBdr>
            <w:top w:val="single" w:sz="6" w:space="12" w:color="ECECEC"/>
            <w:left w:val="single" w:sz="6" w:space="12" w:color="ECECEC"/>
            <w:bottom w:val="single" w:sz="6" w:space="12" w:color="ECECEC"/>
            <w:right w:val="single" w:sz="6" w:space="12" w:color="ECECEC"/>
          </w:divBdr>
        </w:div>
      </w:divsChild>
    </w:div>
    <w:div w:id="1380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11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61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57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8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92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0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5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2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8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5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6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2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0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1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560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61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41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2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2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2023-08-21T14:00:00Z</cp:lastPrinted>
  <dcterms:created xsi:type="dcterms:W3CDTF">2024-04-12T08:48:00Z</dcterms:created>
  <dcterms:modified xsi:type="dcterms:W3CDTF">2024-04-12T08:48:00Z</dcterms:modified>
</cp:coreProperties>
</file>