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C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>ПРОЕКТ</w:t>
      </w:r>
    </w:p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A3220">
        <w:rPr>
          <w:rFonts w:ascii="Times New Roman" w:hAnsi="Times New Roman" w:cs="Times New Roman"/>
          <w:b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______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0528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7F4760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FA3220">
        <w:rPr>
          <w:rFonts w:ascii="Times New Roman" w:hAnsi="Times New Roman" w:cs="Times New Roman"/>
          <w:b/>
          <w:bCs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Совет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2E7E82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2E7E82">
        <w:rPr>
          <w:rFonts w:ascii="Times New Roman" w:hAnsi="Times New Roman" w:cs="Times New Roman"/>
          <w:sz w:val="28"/>
          <w:szCs w:val="28"/>
        </w:rPr>
        <w:t>1. Утвердить о</w:t>
      </w:r>
      <w:r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FA3220"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Андреев</w:t>
      </w:r>
      <w:r w:rsidR="004275BF"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поселения </w:t>
      </w:r>
      <w:r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районана </w:t>
      </w:r>
      <w:r w:rsidR="00D9794F"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2E7E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2E7E82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7E82">
        <w:rPr>
          <w:rFonts w:ascii="Times New Roman" w:hAnsi="Times New Roman" w:cs="Times New Roman"/>
          <w:sz w:val="28"/>
          <w:szCs w:val="28"/>
        </w:rPr>
        <w:t>1)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FA3220" w:rsidRPr="002E7E82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2E7E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2E7E82" w:rsidRPr="002E7E82">
        <w:rPr>
          <w:rFonts w:ascii="Times New Roman" w:hAnsi="Times New Roman" w:cs="Times New Roman"/>
          <w:sz w:val="28"/>
          <w:szCs w:val="28"/>
        </w:rPr>
        <w:t>5</w:t>
      </w:r>
      <w:r w:rsidR="00E621DF">
        <w:rPr>
          <w:rFonts w:ascii="Times New Roman" w:hAnsi="Times New Roman" w:cs="Times New Roman"/>
          <w:sz w:val="28"/>
          <w:szCs w:val="28"/>
        </w:rPr>
        <w:t xml:space="preserve"> 350</w:t>
      </w:r>
      <w:r w:rsidR="00F31AA1" w:rsidRPr="002E7E82">
        <w:rPr>
          <w:rFonts w:ascii="Times New Roman" w:hAnsi="Times New Roman" w:cs="Times New Roman"/>
          <w:sz w:val="28"/>
          <w:szCs w:val="28"/>
        </w:rPr>
        <w:t>,</w:t>
      </w:r>
      <w:r w:rsidR="00E621DF">
        <w:rPr>
          <w:rFonts w:ascii="Times New Roman" w:hAnsi="Times New Roman" w:cs="Times New Roman"/>
          <w:sz w:val="28"/>
          <w:szCs w:val="28"/>
        </w:rPr>
        <w:t>71</w:t>
      </w:r>
      <w:r w:rsidR="005F7A49" w:rsidRPr="002E7E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2E7E82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7E82">
        <w:rPr>
          <w:rFonts w:ascii="Times New Roman" w:hAnsi="Times New Roman" w:cs="Times New Roman"/>
          <w:sz w:val="28"/>
          <w:szCs w:val="28"/>
        </w:rPr>
        <w:t>2)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3220" w:rsidRPr="002E7E82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2E7E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2E7E82" w:rsidRPr="002E7E82">
        <w:rPr>
          <w:rFonts w:ascii="Times New Roman" w:hAnsi="Times New Roman" w:cs="Times New Roman"/>
          <w:sz w:val="28"/>
          <w:szCs w:val="28"/>
        </w:rPr>
        <w:t>5</w:t>
      </w:r>
      <w:r w:rsidR="00E621DF">
        <w:rPr>
          <w:rFonts w:ascii="Times New Roman" w:hAnsi="Times New Roman" w:cs="Times New Roman"/>
          <w:sz w:val="28"/>
          <w:szCs w:val="28"/>
        </w:rPr>
        <w:t xml:space="preserve"> 350</w:t>
      </w:r>
      <w:r w:rsidR="00F31AA1" w:rsidRPr="002E7E82">
        <w:rPr>
          <w:rFonts w:ascii="Times New Roman" w:hAnsi="Times New Roman" w:cs="Times New Roman"/>
          <w:sz w:val="28"/>
          <w:szCs w:val="28"/>
        </w:rPr>
        <w:t>,</w:t>
      </w:r>
      <w:r w:rsidR="00E621DF">
        <w:rPr>
          <w:rFonts w:ascii="Times New Roman" w:hAnsi="Times New Roman" w:cs="Times New Roman"/>
          <w:sz w:val="28"/>
          <w:szCs w:val="28"/>
        </w:rPr>
        <w:t>71</w:t>
      </w:r>
      <w:r w:rsidR="005F7A49" w:rsidRPr="002E7E82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2E7E8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2E7E82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7E82">
        <w:rPr>
          <w:rFonts w:ascii="Times New Roman" w:hAnsi="Times New Roman" w:cs="Times New Roman"/>
          <w:sz w:val="28"/>
          <w:szCs w:val="28"/>
        </w:rPr>
        <w:t>3)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FA3220" w:rsidRPr="002E7E82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2E7E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</w:t>
      </w:r>
      <w:r w:rsidRPr="002E7E82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2E7E82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7E8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FA3220" w:rsidRPr="002E7E82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2E7E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E7E82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D9794F" w:rsidRPr="002E7E82">
        <w:rPr>
          <w:rFonts w:ascii="Times New Roman" w:hAnsi="Times New Roman" w:cs="Times New Roman"/>
          <w:sz w:val="28"/>
          <w:szCs w:val="28"/>
        </w:rPr>
        <w:t>2025</w:t>
      </w:r>
      <w:r w:rsidRPr="002E7E82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2E7E82">
        <w:rPr>
          <w:rFonts w:ascii="Times New Roman" w:hAnsi="Times New Roman" w:cs="Times New Roman"/>
          <w:sz w:val="28"/>
          <w:szCs w:val="28"/>
        </w:rPr>
        <w:t>2026</w:t>
      </w:r>
      <w:r w:rsidRPr="002E7E8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2E7E82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7E82">
        <w:rPr>
          <w:rFonts w:ascii="Times New Roman" w:hAnsi="Times New Roman" w:cs="Times New Roman"/>
          <w:sz w:val="28"/>
          <w:szCs w:val="28"/>
        </w:rPr>
        <w:t>1)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FA3220" w:rsidRPr="002E7E82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2E7E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2E7E82">
        <w:rPr>
          <w:rFonts w:ascii="Times New Roman" w:hAnsi="Times New Roman" w:cs="Times New Roman"/>
          <w:sz w:val="28"/>
          <w:szCs w:val="28"/>
        </w:rPr>
        <w:t>2025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7E82" w:rsidRPr="002E7E82">
        <w:rPr>
          <w:rFonts w:ascii="Times New Roman" w:hAnsi="Times New Roman" w:cs="Times New Roman"/>
          <w:sz w:val="28"/>
          <w:szCs w:val="28"/>
        </w:rPr>
        <w:t>5</w:t>
      </w:r>
      <w:r w:rsidR="00867C18">
        <w:rPr>
          <w:rFonts w:ascii="Times New Roman" w:hAnsi="Times New Roman" w:cs="Times New Roman"/>
          <w:sz w:val="28"/>
          <w:szCs w:val="28"/>
        </w:rPr>
        <w:t>426</w:t>
      </w:r>
      <w:r w:rsidR="005C6239" w:rsidRPr="002E7E82">
        <w:rPr>
          <w:rFonts w:ascii="Times New Roman" w:hAnsi="Times New Roman" w:cs="Times New Roman"/>
          <w:sz w:val="28"/>
          <w:szCs w:val="28"/>
        </w:rPr>
        <w:t>,</w:t>
      </w:r>
      <w:r w:rsidR="00867C18">
        <w:rPr>
          <w:rFonts w:ascii="Times New Roman" w:hAnsi="Times New Roman" w:cs="Times New Roman"/>
          <w:sz w:val="28"/>
          <w:szCs w:val="28"/>
        </w:rPr>
        <w:t xml:space="preserve">07 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2E7E82">
        <w:rPr>
          <w:rFonts w:ascii="Times New Roman" w:hAnsi="Times New Roman" w:cs="Times New Roman"/>
          <w:sz w:val="28"/>
          <w:szCs w:val="28"/>
        </w:rPr>
        <w:t>2026</w:t>
      </w:r>
      <w:r w:rsidR="005F7A49" w:rsidRPr="002E7E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7E82" w:rsidRPr="002E7E82">
        <w:rPr>
          <w:rFonts w:ascii="Times New Roman" w:hAnsi="Times New Roman" w:cs="Times New Roman"/>
          <w:sz w:val="28"/>
          <w:szCs w:val="28"/>
        </w:rPr>
        <w:t>5</w:t>
      </w:r>
      <w:r w:rsidR="00F410D6">
        <w:rPr>
          <w:rFonts w:ascii="Times New Roman" w:hAnsi="Times New Roman" w:cs="Times New Roman"/>
          <w:sz w:val="28"/>
          <w:szCs w:val="28"/>
        </w:rPr>
        <w:t xml:space="preserve"> 493</w:t>
      </w:r>
      <w:r w:rsidR="005C6239" w:rsidRPr="002E7E82">
        <w:rPr>
          <w:rFonts w:ascii="Times New Roman" w:hAnsi="Times New Roman" w:cs="Times New Roman"/>
          <w:sz w:val="28"/>
          <w:szCs w:val="28"/>
        </w:rPr>
        <w:t>,</w:t>
      </w:r>
      <w:r w:rsidR="00F410D6">
        <w:rPr>
          <w:rFonts w:ascii="Times New Roman" w:hAnsi="Times New Roman" w:cs="Times New Roman"/>
          <w:sz w:val="28"/>
          <w:szCs w:val="28"/>
        </w:rPr>
        <w:t xml:space="preserve">16 </w:t>
      </w:r>
      <w:r w:rsidR="005F7A49" w:rsidRPr="002E7E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B765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765A">
        <w:rPr>
          <w:rFonts w:ascii="Times New Roman" w:hAnsi="Times New Roman" w:cs="Times New Roman"/>
          <w:sz w:val="28"/>
          <w:szCs w:val="28"/>
        </w:rPr>
        <w:t>2)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3220" w:rsidRPr="00FB765A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FB765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FB765A">
        <w:rPr>
          <w:rFonts w:ascii="Times New Roman" w:hAnsi="Times New Roman" w:cs="Times New Roman"/>
          <w:sz w:val="28"/>
          <w:szCs w:val="28"/>
        </w:rPr>
        <w:t>2025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765A" w:rsidRPr="00FB765A">
        <w:rPr>
          <w:rFonts w:ascii="Times New Roman" w:hAnsi="Times New Roman" w:cs="Times New Roman"/>
          <w:sz w:val="28"/>
          <w:szCs w:val="28"/>
        </w:rPr>
        <w:t>5</w:t>
      </w:r>
      <w:r w:rsidR="00867C18">
        <w:rPr>
          <w:rFonts w:ascii="Times New Roman" w:hAnsi="Times New Roman" w:cs="Times New Roman"/>
          <w:sz w:val="28"/>
          <w:szCs w:val="28"/>
        </w:rPr>
        <w:t xml:space="preserve"> 426</w:t>
      </w:r>
      <w:r w:rsidR="005C6239" w:rsidRPr="00FB765A">
        <w:rPr>
          <w:rFonts w:ascii="Times New Roman" w:hAnsi="Times New Roman" w:cs="Times New Roman"/>
          <w:sz w:val="28"/>
          <w:szCs w:val="28"/>
        </w:rPr>
        <w:t>,</w:t>
      </w:r>
      <w:r w:rsidR="00867C18">
        <w:rPr>
          <w:rFonts w:ascii="Times New Roman" w:hAnsi="Times New Roman" w:cs="Times New Roman"/>
          <w:sz w:val="28"/>
          <w:szCs w:val="28"/>
        </w:rPr>
        <w:t>07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FB765A" w:rsidRPr="00FB765A">
        <w:rPr>
          <w:rFonts w:ascii="Times New Roman" w:hAnsi="Times New Roman" w:cs="Times New Roman"/>
          <w:sz w:val="28"/>
          <w:szCs w:val="28"/>
        </w:rPr>
        <w:t>131</w:t>
      </w:r>
      <w:r w:rsidR="005C6239" w:rsidRPr="00FB765A">
        <w:rPr>
          <w:rFonts w:ascii="Times New Roman" w:hAnsi="Times New Roman" w:cs="Times New Roman"/>
          <w:sz w:val="28"/>
          <w:szCs w:val="28"/>
        </w:rPr>
        <w:t>,</w:t>
      </w:r>
      <w:r w:rsidR="00867C18">
        <w:rPr>
          <w:rFonts w:ascii="Times New Roman" w:hAnsi="Times New Roman" w:cs="Times New Roman"/>
          <w:sz w:val="28"/>
          <w:szCs w:val="28"/>
        </w:rPr>
        <w:t>1</w:t>
      </w:r>
      <w:r w:rsidR="00FB765A" w:rsidRPr="00FB765A">
        <w:rPr>
          <w:rFonts w:ascii="Times New Roman" w:hAnsi="Times New Roman" w:cs="Times New Roman"/>
          <w:sz w:val="28"/>
          <w:szCs w:val="28"/>
        </w:rPr>
        <w:t>6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FB765A">
        <w:rPr>
          <w:rFonts w:ascii="Times New Roman" w:hAnsi="Times New Roman" w:cs="Times New Roman"/>
          <w:sz w:val="28"/>
          <w:szCs w:val="28"/>
        </w:rPr>
        <w:t>2026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765A" w:rsidRPr="00FB765A">
        <w:rPr>
          <w:rFonts w:ascii="Times New Roman" w:hAnsi="Times New Roman" w:cs="Times New Roman"/>
          <w:sz w:val="28"/>
          <w:szCs w:val="28"/>
        </w:rPr>
        <w:t xml:space="preserve">5 </w:t>
      </w:r>
      <w:r w:rsidR="00F410D6">
        <w:rPr>
          <w:rFonts w:ascii="Times New Roman" w:hAnsi="Times New Roman" w:cs="Times New Roman"/>
          <w:sz w:val="28"/>
          <w:szCs w:val="28"/>
        </w:rPr>
        <w:t>493</w:t>
      </w:r>
      <w:r w:rsidR="005C6239" w:rsidRPr="00FB765A">
        <w:rPr>
          <w:rFonts w:ascii="Times New Roman" w:hAnsi="Times New Roman" w:cs="Times New Roman"/>
          <w:sz w:val="28"/>
          <w:szCs w:val="28"/>
        </w:rPr>
        <w:t>,</w:t>
      </w:r>
      <w:r w:rsidR="00F410D6">
        <w:rPr>
          <w:rFonts w:ascii="Times New Roman" w:hAnsi="Times New Roman" w:cs="Times New Roman"/>
          <w:sz w:val="28"/>
          <w:szCs w:val="28"/>
        </w:rPr>
        <w:t>16</w:t>
      </w:r>
      <w:r w:rsidR="005F7A49" w:rsidRPr="00FB765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FB765A" w:rsidRPr="00FB765A">
        <w:rPr>
          <w:rFonts w:ascii="Times New Roman" w:hAnsi="Times New Roman" w:cs="Times New Roman"/>
          <w:sz w:val="28"/>
          <w:szCs w:val="28"/>
        </w:rPr>
        <w:t>26</w:t>
      </w:r>
      <w:r w:rsidR="00F410D6">
        <w:rPr>
          <w:rFonts w:ascii="Times New Roman" w:hAnsi="Times New Roman" w:cs="Times New Roman"/>
          <w:sz w:val="28"/>
          <w:szCs w:val="28"/>
        </w:rPr>
        <w:t>4</w:t>
      </w:r>
      <w:r w:rsidR="005C6239" w:rsidRPr="00FB765A">
        <w:rPr>
          <w:rFonts w:ascii="Times New Roman" w:hAnsi="Times New Roman" w:cs="Times New Roman"/>
          <w:sz w:val="28"/>
          <w:szCs w:val="28"/>
        </w:rPr>
        <w:t>,</w:t>
      </w:r>
      <w:r w:rsidR="00F410D6">
        <w:rPr>
          <w:rFonts w:ascii="Times New Roman" w:hAnsi="Times New Roman" w:cs="Times New Roman"/>
          <w:sz w:val="28"/>
          <w:szCs w:val="28"/>
        </w:rPr>
        <w:t>87</w:t>
      </w:r>
      <w:r w:rsidRPr="00FB7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765A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FA3220" w:rsidRPr="00FB765A">
        <w:rPr>
          <w:rFonts w:ascii="Times New Roman" w:hAnsi="Times New Roman" w:cs="Times New Roman"/>
          <w:sz w:val="28"/>
          <w:szCs w:val="28"/>
        </w:rPr>
        <w:t>Андреев</w:t>
      </w:r>
      <w:r w:rsidRPr="00FB765A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</w:t>
      </w:r>
      <w:r w:rsidRPr="00FB76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</w:t>
      </w:r>
      <w:r w:rsidR="00D9794F" w:rsidRPr="00FB765A">
        <w:rPr>
          <w:rFonts w:ascii="Times New Roman" w:hAnsi="Times New Roman" w:cs="Times New Roman"/>
          <w:sz w:val="28"/>
          <w:szCs w:val="28"/>
        </w:rPr>
        <w:t>2026</w:t>
      </w:r>
      <w:r w:rsidRPr="00FB765A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FB765A">
        <w:rPr>
          <w:rFonts w:ascii="Times New Roman" w:hAnsi="Times New Roman" w:cs="Times New Roman"/>
          <w:sz w:val="28"/>
          <w:szCs w:val="28"/>
        </w:rPr>
        <w:t>2027</w:t>
      </w:r>
      <w:r w:rsidRPr="00FB765A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FA3220">
        <w:rPr>
          <w:rFonts w:ascii="Times New Roman" w:hAnsi="Times New Roman" w:cs="Times New Roman"/>
          <w:bCs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тыс.руб.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843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FA3220" w:rsidRPr="00327843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32784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327843">
        <w:rPr>
          <w:rFonts w:ascii="Times New Roman" w:hAnsi="Times New Roman" w:cs="Times New Roman"/>
          <w:sz w:val="28"/>
          <w:szCs w:val="28"/>
        </w:rPr>
        <w:t>2024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7843">
        <w:rPr>
          <w:rFonts w:ascii="Times New Roman" w:hAnsi="Times New Roman" w:cs="Times New Roman"/>
          <w:sz w:val="28"/>
          <w:szCs w:val="28"/>
        </w:rPr>
        <w:t>8,40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  тыс.руб., на </w:t>
      </w:r>
      <w:r w:rsidR="00D9794F" w:rsidRPr="00327843">
        <w:rPr>
          <w:rFonts w:ascii="Times New Roman" w:hAnsi="Times New Roman" w:cs="Times New Roman"/>
          <w:sz w:val="28"/>
          <w:szCs w:val="28"/>
        </w:rPr>
        <w:t>2025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 г. – </w:t>
      </w:r>
      <w:r w:rsidR="00327843">
        <w:rPr>
          <w:rFonts w:ascii="Times New Roman" w:hAnsi="Times New Roman" w:cs="Times New Roman"/>
          <w:sz w:val="28"/>
          <w:szCs w:val="28"/>
        </w:rPr>
        <w:t xml:space="preserve">10,57 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327843">
        <w:rPr>
          <w:rFonts w:ascii="Times New Roman" w:hAnsi="Times New Roman" w:cs="Times New Roman"/>
          <w:sz w:val="28"/>
          <w:szCs w:val="28"/>
        </w:rPr>
        <w:t>2026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43">
        <w:rPr>
          <w:rFonts w:ascii="Times New Roman" w:hAnsi="Times New Roman" w:cs="Times New Roman"/>
          <w:sz w:val="28"/>
          <w:szCs w:val="28"/>
        </w:rPr>
        <w:t>3,66</w:t>
      </w:r>
      <w:r w:rsidR="005F7A49" w:rsidRPr="003278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275BF"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A3220">
        <w:rPr>
          <w:rFonts w:ascii="Times New Roman" w:hAnsi="Times New Roman" w:cs="Times New Roman"/>
          <w:sz w:val="28"/>
          <w:szCs w:val="28"/>
        </w:rPr>
        <w:t>Андреев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FA3220">
        <w:rPr>
          <w:rFonts w:ascii="Times New Roman" w:hAnsi="Times New Roman" w:cs="Times New Roman"/>
          <w:iCs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FA3220">
        <w:rPr>
          <w:rFonts w:ascii="Times New Roman" w:hAnsi="Times New Roman" w:cs="Times New Roman"/>
          <w:iCs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FA3220">
        <w:rPr>
          <w:rFonts w:ascii="Times New Roman" w:hAnsi="Times New Roman" w:cs="Times New Roman"/>
          <w:iCs/>
          <w:sz w:val="28"/>
          <w:szCs w:val="28"/>
        </w:rPr>
        <w:t>Андреев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FA3220">
        <w:rPr>
          <w:rFonts w:ascii="Times New Roman" w:hAnsi="Times New Roman" w:cs="Times New Roman"/>
          <w:iCs/>
          <w:sz w:val="28"/>
          <w:szCs w:val="28"/>
        </w:rPr>
        <w:t>Андреев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FA3220">
        <w:rPr>
          <w:rFonts w:ascii="Times New Roman" w:hAnsi="Times New Roman" w:cs="Times New Roman"/>
          <w:iCs/>
          <w:sz w:val="28"/>
          <w:szCs w:val="28"/>
        </w:rPr>
        <w:t>Андреев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 w:rsidR="000C59DA" w:rsidRPr="000C5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25E8">
        <w:rPr>
          <w:rFonts w:ascii="Times New Roman" w:hAnsi="Times New Roman" w:cs="Times New Roman"/>
          <w:iCs/>
          <w:sz w:val="28"/>
          <w:szCs w:val="28"/>
        </w:rPr>
        <w:t>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  <w:r w:rsidR="00FA3220">
        <w:rPr>
          <w:iCs/>
          <w:sz w:val="28"/>
          <w:szCs w:val="28"/>
        </w:rPr>
        <w:t>Андреев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5F7A49" w:rsidRPr="007F4760" w:rsidRDefault="005F7A49" w:rsidP="005F7A49">
      <w:pPr>
        <w:pStyle w:val="af3"/>
        <w:jc w:val="both"/>
        <w:rPr>
          <w:sz w:val="28"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 </w:t>
      </w:r>
      <w:r w:rsidR="00B302C6">
        <w:rPr>
          <w:iCs/>
          <w:sz w:val="28"/>
          <w:szCs w:val="28"/>
        </w:rPr>
        <w:t xml:space="preserve">Н.И. </w:t>
      </w:r>
      <w:r w:rsidR="00B302C6">
        <w:rPr>
          <w:iCs/>
          <w:sz w:val="28"/>
          <w:szCs w:val="28"/>
          <w:lang w:val="en-US"/>
        </w:rPr>
        <w:t>E</w:t>
      </w:r>
      <w:r w:rsidR="00B302C6">
        <w:rPr>
          <w:iCs/>
          <w:sz w:val="28"/>
          <w:szCs w:val="28"/>
        </w:rPr>
        <w:t>горова</w:t>
      </w:r>
    </w:p>
    <w:p w:rsidR="00230CF5" w:rsidRPr="007F4760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Pr="007F476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Pr="007F4760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Pr="007F4760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FA3220">
        <w:rPr>
          <w:sz w:val="22"/>
        </w:rPr>
        <w:t>Андреев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D27BEC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-5 </w:t>
            </w:r>
            <w:r w:rsidR="00394D5E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</w:t>
            </w:r>
            <w:r w:rsidR="00394D5E">
              <w:rPr>
                <w:rFonts w:ascii="Times New Roman" w:hAnsi="Times New Roman" w:cs="Times New Roman"/>
              </w:rPr>
              <w:t>71</w:t>
            </w:r>
          </w:p>
        </w:tc>
      </w:tr>
      <w:tr w:rsidR="00394D5E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67D">
              <w:rPr>
                <w:rFonts w:ascii="Times New Roman" w:hAnsi="Times New Roman" w:cs="Times New Roman"/>
              </w:rPr>
              <w:t>-5 350,71</w:t>
            </w:r>
          </w:p>
        </w:tc>
      </w:tr>
      <w:tr w:rsidR="00394D5E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67D">
              <w:rPr>
                <w:rFonts w:ascii="Times New Roman" w:hAnsi="Times New Roman" w:cs="Times New Roman"/>
              </w:rPr>
              <w:t>-5 350,71</w:t>
            </w:r>
          </w:p>
        </w:tc>
      </w:tr>
      <w:tr w:rsidR="00394D5E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036795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2467CC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94D5E">
              <w:rPr>
                <w:rFonts w:ascii="Times New Roman" w:hAnsi="Times New Roman" w:cs="Times New Roman"/>
                <w:i/>
              </w:rPr>
              <w:t>-5 350,71</w:t>
            </w:r>
          </w:p>
        </w:tc>
      </w:tr>
      <w:tr w:rsidR="00394D5E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67D">
              <w:rPr>
                <w:rFonts w:ascii="Times New Roman" w:hAnsi="Times New Roman" w:cs="Times New Roman"/>
              </w:rPr>
              <w:t>5 350,71</w:t>
            </w:r>
          </w:p>
        </w:tc>
      </w:tr>
      <w:tr w:rsidR="00394D5E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67D">
              <w:rPr>
                <w:rFonts w:ascii="Times New Roman" w:hAnsi="Times New Roman" w:cs="Times New Roman"/>
              </w:rPr>
              <w:t>5 350,71</w:t>
            </w:r>
          </w:p>
        </w:tc>
      </w:tr>
      <w:tr w:rsidR="00394D5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F61697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67D">
              <w:rPr>
                <w:rFonts w:ascii="Times New Roman" w:hAnsi="Times New Roman" w:cs="Times New Roman"/>
              </w:rPr>
              <w:t>5 350,71</w:t>
            </w:r>
          </w:p>
        </w:tc>
      </w:tr>
      <w:tr w:rsidR="00394D5E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036795" w:rsidRDefault="00394D5E" w:rsidP="00394D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2467CC" w:rsidRDefault="00394D5E" w:rsidP="00394D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E" w:rsidRPr="00394D5E" w:rsidRDefault="00394D5E" w:rsidP="00394D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94D5E">
              <w:rPr>
                <w:rFonts w:ascii="Times New Roman" w:hAnsi="Times New Roman" w:cs="Times New Roman"/>
                <w:i/>
              </w:rPr>
              <w:t>5 350,71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Pr="007F4760" w:rsidRDefault="005E2B2E" w:rsidP="00616465">
      <w:pPr>
        <w:rPr>
          <w:rFonts w:ascii="Times New Roman" w:hAnsi="Times New Roman" w:cs="Times New Roman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FA3220">
        <w:rPr>
          <w:sz w:val="22"/>
        </w:rPr>
        <w:t>Андреев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 xml:space="preserve"> Нурлатского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D27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27BEC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D27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27BEC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444448" w:rsidP="00434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</w:t>
            </w:r>
            <w:r w:rsidR="0043420D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,</w:t>
            </w:r>
            <w:r w:rsidR="004342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AA" w:rsidRPr="007F4760" w:rsidRDefault="00473DAA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</w:t>
            </w:r>
            <w:r w:rsidR="00482DDE">
              <w:rPr>
                <w:rFonts w:ascii="Times New Roman" w:hAnsi="Times New Roman" w:cs="Times New Roman"/>
              </w:rPr>
              <w:t>493</w:t>
            </w:r>
            <w:r>
              <w:rPr>
                <w:rFonts w:ascii="Times New Roman" w:hAnsi="Times New Roman" w:cs="Times New Roman"/>
              </w:rPr>
              <w:t>,</w:t>
            </w:r>
            <w:r w:rsidR="00482DDE">
              <w:rPr>
                <w:rFonts w:ascii="Times New Roman" w:hAnsi="Times New Roman" w:cs="Times New Roman"/>
              </w:rPr>
              <w:t>16</w:t>
            </w:r>
          </w:p>
        </w:tc>
      </w:tr>
      <w:tr w:rsidR="00482DDE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3420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C7E">
              <w:rPr>
                <w:rFonts w:ascii="Times New Roman" w:hAnsi="Times New Roman" w:cs="Times New Roman"/>
              </w:rPr>
              <w:t>-5 426,07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82DDE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A24">
              <w:rPr>
                <w:rFonts w:ascii="Times New Roman" w:hAnsi="Times New Roman" w:cs="Times New Roman"/>
              </w:rPr>
              <w:t>-5 493,16</w:t>
            </w:r>
          </w:p>
        </w:tc>
      </w:tr>
      <w:tr w:rsidR="00482DD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3420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C7E">
              <w:rPr>
                <w:rFonts w:ascii="Times New Roman" w:hAnsi="Times New Roman" w:cs="Times New Roman"/>
              </w:rPr>
              <w:t>-5 426,07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82DDE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A24">
              <w:rPr>
                <w:rFonts w:ascii="Times New Roman" w:hAnsi="Times New Roman" w:cs="Times New Roman"/>
              </w:rPr>
              <w:t>-5 493,16</w:t>
            </w:r>
          </w:p>
        </w:tc>
      </w:tr>
      <w:tr w:rsidR="00482DD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36795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2467CC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6023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6023D">
              <w:rPr>
                <w:rFonts w:ascii="Times New Roman" w:hAnsi="Times New Roman" w:cs="Times New Roman"/>
                <w:i/>
              </w:rPr>
              <w:t>-5 426,07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6023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6023D">
              <w:rPr>
                <w:rFonts w:ascii="Times New Roman" w:hAnsi="Times New Roman" w:cs="Times New Roman"/>
                <w:i/>
              </w:rPr>
              <w:t>-5 493,16</w:t>
            </w:r>
          </w:p>
        </w:tc>
      </w:tr>
      <w:tr w:rsidR="00482DDE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3420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C7E">
              <w:rPr>
                <w:rFonts w:ascii="Times New Roman" w:hAnsi="Times New Roman" w:cs="Times New Roman"/>
              </w:rPr>
              <w:t>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82DDE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A24">
              <w:rPr>
                <w:rFonts w:ascii="Times New Roman" w:hAnsi="Times New Roman" w:cs="Times New Roman"/>
              </w:rPr>
              <w:t>5 493,16</w:t>
            </w:r>
          </w:p>
        </w:tc>
      </w:tr>
      <w:tr w:rsidR="00482DDE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3420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485">
              <w:rPr>
                <w:rFonts w:ascii="Times New Roman" w:hAnsi="Times New Roman" w:cs="Times New Roman"/>
              </w:rPr>
              <w:t>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82DDE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785">
              <w:rPr>
                <w:rFonts w:ascii="Times New Roman" w:hAnsi="Times New Roman" w:cs="Times New Roman"/>
              </w:rPr>
              <w:t>5 493,16</w:t>
            </w:r>
          </w:p>
        </w:tc>
      </w:tr>
      <w:tr w:rsidR="00482DD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F61697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3420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485">
              <w:rPr>
                <w:rFonts w:ascii="Times New Roman" w:hAnsi="Times New Roman" w:cs="Times New Roman"/>
              </w:rPr>
              <w:t>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482DDE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785">
              <w:rPr>
                <w:rFonts w:ascii="Times New Roman" w:hAnsi="Times New Roman" w:cs="Times New Roman"/>
              </w:rPr>
              <w:t>5 493,16</w:t>
            </w:r>
          </w:p>
        </w:tc>
      </w:tr>
      <w:tr w:rsidR="00482DD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36795" w:rsidRDefault="00482DDE" w:rsidP="00482DD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bookmarkStart w:id="5" w:name="_GoBack" w:colFirst="2" w:colLast="3"/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2467CC" w:rsidRDefault="00482DDE" w:rsidP="00482DD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6023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6023D">
              <w:rPr>
                <w:rFonts w:ascii="Times New Roman" w:hAnsi="Times New Roman" w:cs="Times New Roman"/>
                <w:i/>
              </w:rPr>
              <w:t>5 426,07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E" w:rsidRPr="0006023D" w:rsidRDefault="00482DDE" w:rsidP="00482DD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6023D">
              <w:rPr>
                <w:rFonts w:ascii="Times New Roman" w:hAnsi="Times New Roman" w:cs="Times New Roman"/>
                <w:i/>
              </w:rPr>
              <w:t>5 493,16</w:t>
            </w:r>
          </w:p>
        </w:tc>
      </w:tr>
    </w:tbl>
    <w:bookmarkEnd w:id="5"/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FA3220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Андреев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5178.0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730.0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730.0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4447.0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87.0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4360.0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4058.0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4058.0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302.0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F00AA5" w:rsidRDefault="00F00AA5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172.7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172.7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8.4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8.4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8.4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FC4166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widowControl/>
              <w:autoSpaceDE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00AA5" w:rsidRDefault="00F00AA5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FC4166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8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00AA5" w:rsidRDefault="00F00AA5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FC4166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8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2 02 49999 10 0000 150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00AA5" w:rsidRDefault="00F00AA5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624AFA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F00AA5" w:rsidRDefault="00F00AA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5350.70</w:t>
            </w:r>
          </w:p>
        </w:tc>
      </w:tr>
    </w:tbl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FA3220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Андреев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5235.8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5293.7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784.8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839.7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784.8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839.7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93.0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4360.0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4360.0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4058.0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4058.0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4058.0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302.0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302.0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190.26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199.46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190.26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199.46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412C0F" w:rsidRDefault="00412C0F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412C0F" w:rsidRDefault="00412C0F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3.66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3.66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10.57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3.66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FC4166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widowControl/>
              <w:autoSpaceDE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FC4166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FC4166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Default="00FC4166" w:rsidP="00FC4166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2 02 49999 10 0000 150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412C0F" w:rsidRDefault="00412C0F" w:rsidP="00FC416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5426.06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2C0F" w:rsidRDefault="00412C0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5493.16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FA3220">
        <w:rPr>
          <w:rFonts w:ascii="Times New Roman" w:hAnsi="Times New Roman" w:cs="Times New Roman"/>
          <w:b/>
          <w:sz w:val="22"/>
          <w:szCs w:val="22"/>
        </w:rPr>
        <w:t>Андреев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1441,07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527F4C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602,75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527F4C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602,75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527F4C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602,75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527F4C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171,08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27F4C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D1D1A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5D1D1A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5D1D1A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5D1D1A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D1D1A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государственных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5D1D1A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601D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</w:t>
            </w:r>
            <w:r w:rsidR="00601D1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1003,30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1003,30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527F4C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250,70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741,50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527F4C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741,50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2 742,02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F" w:rsidRPr="00DC5314" w:rsidRDefault="00017A0F" w:rsidP="00017A0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2 742,02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2 742,02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21,50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2 720,52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2 720,52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017A0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5D1D1A">
              <w:rPr>
                <w:rFonts w:ascii="Times New Roman" w:hAnsi="Times New Roman" w:cs="Times New Roman"/>
                <w:b/>
                <w:color w:val="000000"/>
              </w:rPr>
              <w:t>350,71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527F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92052A" w:rsidRDefault="0092052A" w:rsidP="00527F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92052A" w:rsidRDefault="0092052A" w:rsidP="00527F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FA3220">
        <w:rPr>
          <w:rFonts w:ascii="Times New Roman" w:hAnsi="Times New Roman" w:cs="Times New Roman"/>
          <w:b/>
          <w:sz w:val="22"/>
          <w:szCs w:val="22"/>
        </w:rPr>
        <w:t>Андреев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>группам 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1 483,32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56ED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1 527,33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17A0F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640,84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17A0F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17A0F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17A0F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174,33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017A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17A0F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3454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3454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3454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3454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3454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755,70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755,70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C56ED6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460D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268,56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259,48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268,56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476,04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660,04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476,04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2 748,97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2 748,97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2 748,97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34,80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26,60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2 666,17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2 722,37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C56ED6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2 666,17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460D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2 722,37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5D1D1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D534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294,91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3454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D5340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228</w:t>
            </w:r>
            <w:r w:rsidR="00D5340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27F4C" w:rsidRDefault="00527F4C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2052A" w:rsidRDefault="0092052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92052A" w:rsidRDefault="0092052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7F4760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FA3220">
        <w:rPr>
          <w:rFonts w:ascii="Times New Roman" w:hAnsi="Times New Roman" w:cs="Times New Roman"/>
          <w:b/>
        </w:rPr>
        <w:t>Андреев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293EFA" w:rsidRPr="007F4760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7F4760" w:rsidRDefault="00734541" w:rsidP="00044739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Pr="007F4760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3"/>
        <w:gridCol w:w="861"/>
        <w:gridCol w:w="567"/>
        <w:gridCol w:w="567"/>
        <w:gridCol w:w="1418"/>
        <w:gridCol w:w="567"/>
        <w:gridCol w:w="1388"/>
      </w:tblGrid>
      <w:tr w:rsidR="00667E46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667E4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667E46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ИСПОЛНИТЕЛЬНЫЙ КОМИТЕТ АНДРЕЕВСКОГО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4762,07</w:t>
            </w:r>
          </w:p>
        </w:tc>
      </w:tr>
      <w:tr w:rsidR="00667E46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852,43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602,75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602,75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602,75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171,08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92052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64" w:rsidRPr="00344684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CA3D64" w:rsidRPr="007F4760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817C9" w:rsidRDefault="00CA3D64" w:rsidP="00CA3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817C9" w:rsidRDefault="00CA3D64" w:rsidP="00CA3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16508F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16508F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16508F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16508F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A50F0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1003,30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1003,30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527F4C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1003,30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250,70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250,70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16508F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741,50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741,50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2 742,02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2 742,02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2 742,02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21,50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21,50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DC531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2 720,52</w:t>
            </w:r>
          </w:p>
        </w:tc>
      </w:tr>
      <w:tr w:rsidR="00CA3D64" w:rsidRPr="00344684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2 720,52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АНДРЕЕВСКОГО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CA3D64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CA3D64" w:rsidRPr="007F4760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CA3D64" w:rsidRPr="00344684" w:rsidTr="00667E4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344684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4" w:rsidRPr="007F4760" w:rsidRDefault="00CA3D64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667E46" w:rsidRPr="007F4760" w:rsidTr="00667E4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667E46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46" w:rsidRPr="007F4760" w:rsidRDefault="00CA3D64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5350,71</w:t>
            </w:r>
          </w:p>
        </w:tc>
      </w:tr>
    </w:tbl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92052A" w:rsidRDefault="0092052A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FF6CE4" w:rsidRPr="007F4760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A3220">
        <w:rPr>
          <w:rFonts w:ascii="Times New Roman" w:hAnsi="Times New Roman" w:cs="Times New Roman"/>
        </w:rPr>
        <w:t>Андреев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FA3220">
        <w:rPr>
          <w:rFonts w:ascii="Times New Roman" w:hAnsi="Times New Roman" w:cs="Times New Roman"/>
          <w:b/>
        </w:rPr>
        <w:t>Андреев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тыс.руб.</w:t>
      </w: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3"/>
        <w:gridCol w:w="861"/>
        <w:gridCol w:w="567"/>
        <w:gridCol w:w="567"/>
        <w:gridCol w:w="1418"/>
        <w:gridCol w:w="567"/>
        <w:gridCol w:w="1388"/>
        <w:gridCol w:w="1388"/>
      </w:tblGrid>
      <w:tr w:rsidR="00AB4E27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AB4E27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AB4E2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ИСПОЛНИТЕЛЬНЫЙ КОМИТЕТ АНДРЕЕВСКОГО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D53403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4 682,7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D53403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4 591,58</w:t>
            </w:r>
          </w:p>
        </w:tc>
      </w:tr>
      <w:tr w:rsidR="00AB4E27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AB4E27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D53403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871,11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7" w:rsidRPr="007F4760" w:rsidRDefault="00D53403" w:rsidP="00CA3D6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890,52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17A0F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640,84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17A0F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640,84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17A0F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640,84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17A0F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174,33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249,68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249,68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92052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03" w:rsidRPr="00344684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10,00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53403" w:rsidRPr="007F4760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817C9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817C9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817C9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817C9" w:rsidRDefault="00D53403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обеспечения выполнения функций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A50F0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755,70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755,70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C56ED6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0460D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755,70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268,56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259,48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268,56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16508F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11,10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476,04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660,04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476,04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2 748,97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2 748,97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2 748,97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26,60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34,80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26,60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2 666,17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DC531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2 722,37</w:t>
            </w:r>
          </w:p>
        </w:tc>
      </w:tr>
      <w:tr w:rsidR="00D53403" w:rsidRPr="00344684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2 666,17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2 722,37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СОВЕТ АНДРЕЕВСКОГО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53403" w:rsidRPr="007F4760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53403" w:rsidRPr="00344684" w:rsidTr="00CA3D64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CA3D6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344684" w:rsidRDefault="00D53403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53403" w:rsidRPr="007F4760" w:rsidTr="00CA3D64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92052A" w:rsidP="00CA3D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CA3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5294,91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3" w:rsidRPr="007F4760" w:rsidRDefault="00D53403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5 228,30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86" w:rsidRDefault="00E31986">
      <w:r>
        <w:separator/>
      </w:r>
    </w:p>
  </w:endnote>
  <w:endnote w:type="continuationSeparator" w:id="1">
    <w:p w:rsidR="00E31986" w:rsidRDefault="00E3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86" w:rsidRDefault="00E31986">
      <w:r>
        <w:separator/>
      </w:r>
    </w:p>
  </w:footnote>
  <w:footnote w:type="continuationSeparator" w:id="1">
    <w:p w:rsidR="00E31986" w:rsidRDefault="00E31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17A0F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60D0"/>
    <w:rsid w:val="00047921"/>
    <w:rsid w:val="00047CA0"/>
    <w:rsid w:val="00047D64"/>
    <w:rsid w:val="00052841"/>
    <w:rsid w:val="000544F7"/>
    <w:rsid w:val="00055873"/>
    <w:rsid w:val="00055F9B"/>
    <w:rsid w:val="0006023D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0B44"/>
    <w:rsid w:val="00081399"/>
    <w:rsid w:val="0008172A"/>
    <w:rsid w:val="00082490"/>
    <w:rsid w:val="00083E2A"/>
    <w:rsid w:val="000853A9"/>
    <w:rsid w:val="0008578A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59DA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922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74884"/>
    <w:rsid w:val="002815DA"/>
    <w:rsid w:val="002829F5"/>
    <w:rsid w:val="00283DB6"/>
    <w:rsid w:val="00284C91"/>
    <w:rsid w:val="00285383"/>
    <w:rsid w:val="00287684"/>
    <w:rsid w:val="00287B99"/>
    <w:rsid w:val="002906CC"/>
    <w:rsid w:val="00290A01"/>
    <w:rsid w:val="00291490"/>
    <w:rsid w:val="002914E3"/>
    <w:rsid w:val="00291FCF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A7E16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3237"/>
    <w:rsid w:val="002E506C"/>
    <w:rsid w:val="002E6DDD"/>
    <w:rsid w:val="002E7E82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27843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4D5E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56CF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2C0F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420D"/>
    <w:rsid w:val="00434B60"/>
    <w:rsid w:val="004360C0"/>
    <w:rsid w:val="00437F90"/>
    <w:rsid w:val="00440323"/>
    <w:rsid w:val="00444448"/>
    <w:rsid w:val="00444E67"/>
    <w:rsid w:val="00444F94"/>
    <w:rsid w:val="004455DB"/>
    <w:rsid w:val="004466D0"/>
    <w:rsid w:val="00446AF4"/>
    <w:rsid w:val="004472E6"/>
    <w:rsid w:val="004505AA"/>
    <w:rsid w:val="004524B0"/>
    <w:rsid w:val="00453CB1"/>
    <w:rsid w:val="004559C8"/>
    <w:rsid w:val="00457022"/>
    <w:rsid w:val="004575AE"/>
    <w:rsid w:val="0045796A"/>
    <w:rsid w:val="00461A03"/>
    <w:rsid w:val="00461C49"/>
    <w:rsid w:val="00462017"/>
    <w:rsid w:val="004621A2"/>
    <w:rsid w:val="00462F6C"/>
    <w:rsid w:val="00463311"/>
    <w:rsid w:val="0046632B"/>
    <w:rsid w:val="00472F32"/>
    <w:rsid w:val="00473DAA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2DDE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14FA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27F4C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D1A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1D18"/>
    <w:rsid w:val="00603A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54A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67E46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832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5EE9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67C18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52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3D3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4E27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02C6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454"/>
    <w:rsid w:val="00C568CC"/>
    <w:rsid w:val="00C56ED6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3D64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27BEC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3403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98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21DF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2F20"/>
    <w:rsid w:val="00ED4196"/>
    <w:rsid w:val="00ED5137"/>
    <w:rsid w:val="00ED78D7"/>
    <w:rsid w:val="00EE4094"/>
    <w:rsid w:val="00EE4BEB"/>
    <w:rsid w:val="00EE7CDA"/>
    <w:rsid w:val="00EF1108"/>
    <w:rsid w:val="00EF121D"/>
    <w:rsid w:val="00EF5370"/>
    <w:rsid w:val="00EF55B5"/>
    <w:rsid w:val="00EF5B55"/>
    <w:rsid w:val="00EF5E91"/>
    <w:rsid w:val="00EF7E83"/>
    <w:rsid w:val="00F00340"/>
    <w:rsid w:val="00F009D3"/>
    <w:rsid w:val="00F00AA5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10D6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220"/>
    <w:rsid w:val="00FA39EE"/>
    <w:rsid w:val="00FA3B4F"/>
    <w:rsid w:val="00FA42FD"/>
    <w:rsid w:val="00FA616E"/>
    <w:rsid w:val="00FA70CC"/>
    <w:rsid w:val="00FB0398"/>
    <w:rsid w:val="00FB3F26"/>
    <w:rsid w:val="00FB765A"/>
    <w:rsid w:val="00FC0926"/>
    <w:rsid w:val="00FC4018"/>
    <w:rsid w:val="00FC4166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7CC0-6E0D-4DF1-8A9C-7C2412F9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User</cp:lastModifiedBy>
  <cp:revision>34</cp:revision>
  <cp:lastPrinted>2021-03-13T12:09:00Z</cp:lastPrinted>
  <dcterms:created xsi:type="dcterms:W3CDTF">2023-11-14T11:04:00Z</dcterms:created>
  <dcterms:modified xsi:type="dcterms:W3CDTF">2023-12-19T11:51:00Z</dcterms:modified>
</cp:coreProperties>
</file>