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08A" w:rsidRDefault="00003892" w:rsidP="0051608A">
      <w:pPr>
        <w:pStyle w:val="a3"/>
        <w:jc w:val="center"/>
      </w:pPr>
      <w:r>
        <w:t xml:space="preserve"> </w:t>
      </w:r>
      <w:r w:rsidR="0051608A">
        <w:rPr>
          <w:rStyle w:val="a4"/>
        </w:rPr>
        <w:t>О гарантийных сроках на объект долевого строительства </w:t>
      </w:r>
    </w:p>
    <w:p w:rsidR="0051608A" w:rsidRDefault="0051608A" w:rsidP="0051608A">
      <w:pPr>
        <w:pStyle w:val="a3"/>
      </w:pPr>
      <w:r>
        <w:rPr>
          <w:rStyle w:val="a4"/>
        </w:rPr>
        <w:t>ВОПРОС:</w:t>
      </w:r>
      <w:r>
        <w:t xml:space="preserve"> Какие установлены законом гарантийные сроки на объект долевого строительства, а также на технологическое и инженерное оборудование, входящее в его состав, и каким образом они исчисляются?</w:t>
      </w:r>
    </w:p>
    <w:p w:rsidR="0051608A" w:rsidRDefault="0051608A" w:rsidP="0051608A">
      <w:pPr>
        <w:pStyle w:val="a3"/>
      </w:pPr>
      <w:r>
        <w:rPr>
          <w:rStyle w:val="a4"/>
        </w:rPr>
        <w:t>ОТВЕТ:</w:t>
      </w:r>
      <w:r>
        <w:t>  В соответствии с ч.ч. 5 и 5.1 ст.7 Федерального закона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устанавливается договором и не может составлять менее чем пять лет. Исчисляется данный срок со дня передачи объекта долевого строительства участнику долевого строительства, если иное не предусмотрено договором.</w:t>
      </w:r>
    </w:p>
    <w:p w:rsidR="0051608A" w:rsidRDefault="0051608A" w:rsidP="0051608A">
      <w:pPr>
        <w:pStyle w:val="a3"/>
      </w:pPr>
      <w:r>
        <w:t>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договором и не может составлять менее чем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rsidR="00003892" w:rsidRPr="00003892" w:rsidRDefault="00003892" w:rsidP="00003892">
      <w:pPr>
        <w:spacing w:after="0" w:line="240" w:lineRule="auto"/>
        <w:rPr>
          <w:rFonts w:ascii="Times New Roman" w:eastAsia="Times New Roman" w:hAnsi="Times New Roman" w:cs="Times New Roman"/>
          <w:sz w:val="24"/>
          <w:szCs w:val="24"/>
          <w:lang w:eastAsia="ru-RU"/>
        </w:rPr>
      </w:pPr>
    </w:p>
    <w:p w:rsidR="0051608A" w:rsidRDefault="002E6C30" w:rsidP="0051608A">
      <w:pPr>
        <w:pStyle w:val="a3"/>
        <w:jc w:val="center"/>
      </w:pPr>
      <w:r>
        <w:t xml:space="preserve">   </w:t>
      </w:r>
      <w:r w:rsidR="0051608A">
        <w:rPr>
          <w:rStyle w:val="a4"/>
        </w:rPr>
        <w:t>О документах для вычета налогов</w:t>
      </w:r>
    </w:p>
    <w:p w:rsidR="0051608A" w:rsidRDefault="0051608A" w:rsidP="0051608A">
      <w:pPr>
        <w:pStyle w:val="a3"/>
      </w:pPr>
      <w:r>
        <w:rPr>
          <w:rStyle w:val="a4"/>
        </w:rPr>
        <w:t xml:space="preserve">ВОПРОС: </w:t>
      </w:r>
      <w:r>
        <w:t>Хочу получить налоговый вычет за оказание мне в прошлом году платных медицинских услуг. Какие документы должна мне выдать медицинская организация в случае моего обращения по этому вопросу?</w:t>
      </w:r>
    </w:p>
    <w:p w:rsidR="0051608A" w:rsidRDefault="0051608A" w:rsidP="0051608A">
      <w:pPr>
        <w:pStyle w:val="a3"/>
      </w:pPr>
      <w:r>
        <w:rPr>
          <w:rStyle w:val="a4"/>
        </w:rPr>
        <w:t>ОТВЕТ:</w:t>
      </w:r>
      <w:r>
        <w:t> В соответствии с п.33 Правил предоставления медицинскими организациями платных медицинских услуг, утв. постановлением Правительства РФ 11.05.2023г. №736, в целях  защиты прав потребителя медицинская организация по обращению потребителя выдает следующие документы, подтверждающие фактические расходы потребителя и (или) заказчика на оказанные медицинские услуги и (или) приобретение лекарственных препаратов для медицинского применения:</w:t>
      </w:r>
    </w:p>
    <w:p w:rsidR="0051608A" w:rsidRDefault="0051608A" w:rsidP="0051608A">
      <w:pPr>
        <w:pStyle w:val="a3"/>
      </w:pPr>
      <w:r>
        <w:t>а) копия договора с приложениями и дополнительными соглашениями к нему (в случае заключения);</w:t>
      </w:r>
    </w:p>
    <w:p w:rsidR="0051608A" w:rsidRDefault="0051608A" w:rsidP="0051608A">
      <w:pPr>
        <w:pStyle w:val="a3"/>
      </w:pPr>
      <w:r>
        <w:t>б) справка об оплате медицинских услуг по установленной форме;</w:t>
      </w:r>
    </w:p>
    <w:p w:rsidR="0051608A" w:rsidRDefault="0051608A" w:rsidP="0051608A">
      <w:pPr>
        <w:pStyle w:val="a3"/>
      </w:pPr>
      <w:r>
        <w:t>в) рецептурный бланк с проставленным штампом "Для налоговых органов Российской Федерации, идентификационный номер налогоплательщика", заверенный подписью и личной печатью врача, печатью медицинской организации;</w:t>
      </w:r>
    </w:p>
    <w:p w:rsidR="0051608A" w:rsidRDefault="0051608A" w:rsidP="0051608A">
      <w:pPr>
        <w:pStyle w:val="a3"/>
      </w:pPr>
      <w:r>
        <w:t>г) документы установленного образца, подтверждающие оплату лекарственных препаратов (кассовый чек, бланк строгой отчетности или иной документ, подтверждающий факт осуществления расчета, в случаях, если в соответствии с требованиями законодательства Российской Федерации о применении контрольно-кассовой техники у медицинской организации отсутствует обязанность по применению контрольно-кассовой техники при осуществлении расчетов).</w:t>
      </w:r>
    </w:p>
    <w:p w:rsidR="0051608A" w:rsidRDefault="0051608A" w:rsidP="0051608A">
      <w:pPr>
        <w:pStyle w:val="a3"/>
        <w:jc w:val="center"/>
      </w:pPr>
      <w:r>
        <w:rPr>
          <w:rStyle w:val="a4"/>
        </w:rPr>
        <w:lastRenderedPageBreak/>
        <w:t>О начислении пеней при просрочке платежей за ЖКХ</w:t>
      </w:r>
    </w:p>
    <w:p w:rsidR="0051608A" w:rsidRDefault="0051608A" w:rsidP="0051608A">
      <w:pPr>
        <w:pStyle w:val="a3"/>
      </w:pPr>
      <w:r>
        <w:rPr>
          <w:rStyle w:val="a4"/>
        </w:rPr>
        <w:t>ВОПРОС:</w:t>
      </w:r>
      <w:r>
        <w:t xml:space="preserve"> Я вовремя не оплатил счет за услуги ЖКХ, был в командировке. Могут ли мне быть начислены какие-то пени или штрафы за это?</w:t>
      </w:r>
    </w:p>
    <w:p w:rsidR="0051608A" w:rsidRDefault="0051608A" w:rsidP="0051608A">
      <w:pPr>
        <w:pStyle w:val="a3"/>
      </w:pPr>
      <w:r>
        <w:rPr>
          <w:rStyle w:val="a4"/>
        </w:rPr>
        <w:t>ОТВЕТ:</w:t>
      </w:r>
      <w:r>
        <w:t>Все зависит от того, на какой период Вы задержали оплату. В соответствии с ч.14 ст.155 Жилищного кодекса Российской Федерации собственники / наниматели, которые не вовремя или не полностью внесли УК плату за жилое помещение, обязаны уплатить УК законную неустойку – пени, размер которой зависит от периода задолженности, которая отсчитывается со дня, следующего за днем наступления установленного срока оплаты:</w:t>
      </w:r>
    </w:p>
    <w:p w:rsidR="0051608A" w:rsidRDefault="0051608A" w:rsidP="0051608A">
      <w:pPr>
        <w:pStyle w:val="a3"/>
      </w:pPr>
      <w:r>
        <w:t>- первые 30 дней просрочки вообще не влекут начисления пени;</w:t>
      </w:r>
    </w:p>
    <w:p w:rsidR="0051608A" w:rsidRDefault="0051608A" w:rsidP="0051608A">
      <w:pPr>
        <w:pStyle w:val="a3"/>
      </w:pPr>
      <w:r>
        <w:t>- на сумму долга с просрочкой с 31 до 90 дня начисляются пени в размере 1/300 ставки рефинансирования ЦБ РФ, действующей на день фактической оплаты, на каждый день просрочки от не выплаченной в срок суммы;</w:t>
      </w:r>
    </w:p>
    <w:p w:rsidR="0051608A" w:rsidRDefault="0051608A" w:rsidP="0051608A">
      <w:pPr>
        <w:pStyle w:val="a3"/>
      </w:pPr>
      <w:r>
        <w:t>- на сумму долга с просрочкой в 91 день и больше пени уплачиваются в размере 1/130 ставки рефинансирования ЦБ РФ, действующей на день фактической оплаты, от не выплаченной в срок суммы за каждый день просрочки.</w:t>
      </w:r>
    </w:p>
    <w:p w:rsidR="0051608A" w:rsidRDefault="0051608A" w:rsidP="0051608A">
      <w:pPr>
        <w:pStyle w:val="a3"/>
        <w:jc w:val="center"/>
        <w:rPr>
          <w:rStyle w:val="a4"/>
        </w:rPr>
      </w:pPr>
    </w:p>
    <w:p w:rsidR="0051608A" w:rsidRDefault="0051608A" w:rsidP="0051608A">
      <w:pPr>
        <w:pStyle w:val="a3"/>
        <w:jc w:val="center"/>
        <w:rPr>
          <w:rStyle w:val="a4"/>
        </w:rPr>
      </w:pPr>
    </w:p>
    <w:p w:rsidR="0051608A" w:rsidRDefault="0051608A" w:rsidP="0051608A">
      <w:pPr>
        <w:pStyle w:val="a3"/>
        <w:jc w:val="center"/>
      </w:pPr>
      <w:r>
        <w:rPr>
          <w:rStyle w:val="a4"/>
        </w:rPr>
        <w:t>О судебном приказе на удержание денежных средств</w:t>
      </w:r>
    </w:p>
    <w:p w:rsidR="0051608A" w:rsidRDefault="0051608A" w:rsidP="0051608A">
      <w:pPr>
        <w:pStyle w:val="a3"/>
      </w:pPr>
      <w:r>
        <w:rPr>
          <w:rStyle w:val="a4"/>
        </w:rPr>
        <w:t>ВОПРОС:</w:t>
      </w:r>
      <w:r>
        <w:t> У меня имелась задолженность по оплате жилого помещения и коммунальных услуг. От бухгалтера на работе я узнал, что у них имеется судебный приказ на произведение удержаний из моего заработка по оплате данной задолженности. Получается, что управляющая компания обратилась в суд,  и судья единолично вынес какое-то решение? Это возможно? </w:t>
      </w:r>
    </w:p>
    <w:p w:rsidR="0051608A" w:rsidRDefault="0051608A" w:rsidP="0051608A">
      <w:pPr>
        <w:pStyle w:val="a3"/>
      </w:pPr>
      <w:r>
        <w:rPr>
          <w:rStyle w:val="a4"/>
        </w:rPr>
        <w:t>ОТВЕТ:</w:t>
      </w:r>
      <w:r>
        <w:t> Да, это возможно. В соответствии с ч.11 ст.155 Жилищного кодекса Российской Федерации граждане и организации обязаны своевременно и полностью вносить плату за жилое помещение и коммунальные услуги. Требования о взыскании суммы задолженности по оплате жилого помещения и коммунальных услуг, не превышающей пятисот тысяч рублей, подлежат рассмотрению в порядке приказного производства в соответствии с ч. 1 ст. 121 ГПК РФ, п. 5 постановления Пленума Верховного Суда РФ от 27.06.2017 г. N 22"О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w:t>
      </w:r>
    </w:p>
    <w:p w:rsidR="0051608A" w:rsidRDefault="0051608A" w:rsidP="0051608A">
      <w:pPr>
        <w:pStyle w:val="a3"/>
      </w:pPr>
      <w:r>
        <w:t>Согласно ст. 121 ГПК РФ судебный приказ - это судебное постановление, вынесенное судьей единолично на основании заявления о взыскании денежных сумм или об истребовании движимого имущества от должника по требованиям, предусмотренным ст. 122 ГПК РФ, если размер денежных сумм, подлежащих взысканию, или стоимость движимого имущества, подлежащего истребованию, не превышает пятьсот тысяч рублей.</w:t>
      </w:r>
    </w:p>
    <w:p w:rsidR="0051608A" w:rsidRDefault="0051608A" w:rsidP="0051608A">
      <w:pPr>
        <w:pStyle w:val="a3"/>
      </w:pPr>
      <w:r>
        <w:t>Судебный приказ является одновременно исполнительным документом и приводится в исполнение в порядке, установленном для исполнения судебных постановлений.</w:t>
      </w:r>
    </w:p>
    <w:p w:rsidR="0051608A" w:rsidRDefault="0051608A" w:rsidP="0051608A">
      <w:pPr>
        <w:pStyle w:val="a3"/>
      </w:pPr>
      <w:r>
        <w:lastRenderedPageBreak/>
        <w:t>Судебный приказ выдается, если заявлено требование, в том числе, о взыскании задолженности по оплате жилого помещения, расходов на капитальный ремонт и содержание общего имущества в многоквартирном доме, коммунальных услуг, услуг связи.</w:t>
      </w:r>
    </w:p>
    <w:p w:rsidR="0083056A" w:rsidRDefault="0083056A" w:rsidP="0083056A">
      <w:pPr>
        <w:pStyle w:val="a3"/>
        <w:jc w:val="center"/>
        <w:rPr>
          <w:rStyle w:val="a4"/>
        </w:rPr>
      </w:pPr>
    </w:p>
    <w:p w:rsidR="0083056A" w:rsidRDefault="0083056A" w:rsidP="0083056A">
      <w:pPr>
        <w:pStyle w:val="a3"/>
        <w:jc w:val="center"/>
        <w:rPr>
          <w:rStyle w:val="a4"/>
        </w:rPr>
      </w:pPr>
    </w:p>
    <w:p w:rsidR="0083056A" w:rsidRDefault="0083056A" w:rsidP="0083056A">
      <w:pPr>
        <w:pStyle w:val="a3"/>
        <w:jc w:val="center"/>
      </w:pPr>
      <w:bookmarkStart w:id="0" w:name="_GoBack"/>
      <w:bookmarkEnd w:id="0"/>
      <w:r>
        <w:rPr>
          <w:rStyle w:val="a4"/>
        </w:rPr>
        <w:t>О почтовых ящиках в МКД</w:t>
      </w:r>
    </w:p>
    <w:p w:rsidR="0083056A" w:rsidRDefault="0083056A" w:rsidP="0083056A">
      <w:pPr>
        <w:pStyle w:val="a3"/>
      </w:pPr>
      <w:r>
        <w:rPr>
          <w:rStyle w:val="a4"/>
        </w:rPr>
        <w:t>ВОПРОС:</w:t>
      </w:r>
      <w:r>
        <w:t>  Наши абонентские почтовые ящики в МКД находятся в ужасном состоянии (разрисованы, не закрываются, сломаны и т.п.). На неоднократные требования жильцов к УК заменить их на новые, мы получаем отказ со ссылкой на то, что они не относятся к общему имуществу МКД, и, соответственно, УК не должна их менять. Права ли управляющая компания?</w:t>
      </w:r>
    </w:p>
    <w:p w:rsidR="0083056A" w:rsidRDefault="0083056A" w:rsidP="0083056A">
      <w:pPr>
        <w:pStyle w:val="a3"/>
      </w:pPr>
      <w:r>
        <w:rPr>
          <w:rStyle w:val="a4"/>
        </w:rPr>
        <w:t>ОТВЕТ:</w:t>
      </w:r>
      <w:r>
        <w:t> Абонентские почтовые ящики относятся к общему имуществу многоквартирного дома, что было подтверждено Верховным судом РФ (Определение СК по гражданским делам Верховного Суда РФ от 16 июня 2023 г. N 51-КГ23-3-К8).</w:t>
      </w:r>
    </w:p>
    <w:p w:rsidR="0083056A" w:rsidRDefault="0083056A" w:rsidP="0083056A">
      <w:pPr>
        <w:pStyle w:val="a3"/>
      </w:pPr>
      <w:r>
        <w:t>В силу пп."д" и "ж" п.2 Правилсодержания общего имущества в многоквартирном доме, утв. постановлением Правительства РФ от 13 августа 2006 г. N 491 (далее – Правила №491),в состав общего имущества включается, в том числе, и иные объекты, предназначенные для обслуживания, эксплуатации и благоустройства МКД. Данный перечень общего имущества не является исчерпывающим. Подраздел 3.15 "Рекомендаций по содержанию и ремонту иных объектов общего имущества в многоквартирном доме" (приложение к Положению о разработке, передаче, пользовании и хранении инструкции по эксплуатации МКД, утв. приказом Минрегионразвития РФ от 01.06.2007 года N 45) содержит рекомендации по содержанию и ремонту абонентских почтовых шкафов как объектов общедомового имущества.</w:t>
      </w:r>
    </w:p>
    <w:p w:rsidR="0083056A" w:rsidRDefault="0083056A" w:rsidP="0083056A">
      <w:pPr>
        <w:pStyle w:val="a3"/>
      </w:pPr>
      <w:r>
        <w:t>Расходы на приобретение и установку абонентских почтовых шкафов включаются в смету строительства этих домов, которые устанавливаются строительными организациями на первых этажах МКД. Согласно ст.31 Федерального закона от 17 июля 1999 г. N 176-ФЗ "О почтовой связи" их обслуживание, ремонт и замена возлагаются на собственников жилых домов или жилищно-эксплуатационные организации, которые обеспечивают сохранность жилых домов и надлежащее их использование, и осуществляются за счёт собственников жилых домов.</w:t>
      </w:r>
    </w:p>
    <w:p w:rsidR="0083056A" w:rsidRDefault="0083056A" w:rsidP="0083056A">
      <w:pPr>
        <w:pStyle w:val="a3"/>
      </w:pPr>
      <w:r>
        <w:t>Таким образом, действующее законодательство предусматривает обязательное установление на первых этажах МКД абонентских почтовых шкафов, которые являются общим имуществом МКД в силу требований ч.1 ст.36 ЖК РФ, пп."д" п. 2 Правил N 491. И поскольку абонентские почтовые ящики относятся к общему имуществу МКД, такое имущество подлежит содержанию УК в надлежащем техническом состоянии, обеспечивающем выполнение им основного назначения. При ненадлежащем состоянии абонентского почтового шкафа в подъезде МКД он подлежит восстановлению (ремонту либо замене) управляющей организацией в счёт установленной платы за содержание жилых помещений, вносимой собственниками помещений в МКД.</w:t>
      </w:r>
    </w:p>
    <w:p w:rsidR="00884E38" w:rsidRDefault="00884E38"/>
    <w:sectPr w:rsidR="00884E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002"/>
    <w:rsid w:val="00003892"/>
    <w:rsid w:val="000D70DC"/>
    <w:rsid w:val="002E6C30"/>
    <w:rsid w:val="00433AF6"/>
    <w:rsid w:val="0051608A"/>
    <w:rsid w:val="0083056A"/>
    <w:rsid w:val="00884E38"/>
    <w:rsid w:val="00C70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6AB19"/>
  <w15:chartTrackingRefBased/>
  <w15:docId w15:val="{E9127D4A-07CF-44DA-825E-610EDECD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60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160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967868">
      <w:bodyDiv w:val="1"/>
      <w:marLeft w:val="0"/>
      <w:marRight w:val="0"/>
      <w:marTop w:val="0"/>
      <w:marBottom w:val="0"/>
      <w:divBdr>
        <w:top w:val="none" w:sz="0" w:space="0" w:color="auto"/>
        <w:left w:val="none" w:sz="0" w:space="0" w:color="auto"/>
        <w:bottom w:val="none" w:sz="0" w:space="0" w:color="auto"/>
        <w:right w:val="none" w:sz="0" w:space="0" w:color="auto"/>
      </w:divBdr>
      <w:divsChild>
        <w:div w:id="502857942">
          <w:marLeft w:val="0"/>
          <w:marRight w:val="0"/>
          <w:marTop w:val="0"/>
          <w:marBottom w:val="0"/>
          <w:divBdr>
            <w:top w:val="none" w:sz="0" w:space="0" w:color="auto"/>
            <w:left w:val="none" w:sz="0" w:space="0" w:color="auto"/>
            <w:bottom w:val="none" w:sz="0" w:space="0" w:color="auto"/>
            <w:right w:val="none" w:sz="0" w:space="0" w:color="auto"/>
          </w:divBdr>
          <w:divsChild>
            <w:div w:id="105227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07833">
      <w:bodyDiv w:val="1"/>
      <w:marLeft w:val="0"/>
      <w:marRight w:val="0"/>
      <w:marTop w:val="0"/>
      <w:marBottom w:val="0"/>
      <w:divBdr>
        <w:top w:val="none" w:sz="0" w:space="0" w:color="auto"/>
        <w:left w:val="none" w:sz="0" w:space="0" w:color="auto"/>
        <w:bottom w:val="none" w:sz="0" w:space="0" w:color="auto"/>
        <w:right w:val="none" w:sz="0" w:space="0" w:color="auto"/>
      </w:divBdr>
      <w:divsChild>
        <w:div w:id="785736262">
          <w:marLeft w:val="0"/>
          <w:marRight w:val="0"/>
          <w:marTop w:val="0"/>
          <w:marBottom w:val="0"/>
          <w:divBdr>
            <w:top w:val="none" w:sz="0" w:space="0" w:color="auto"/>
            <w:left w:val="none" w:sz="0" w:space="0" w:color="auto"/>
            <w:bottom w:val="none" w:sz="0" w:space="0" w:color="auto"/>
            <w:right w:val="none" w:sz="0" w:space="0" w:color="auto"/>
          </w:divBdr>
          <w:divsChild>
            <w:div w:id="173881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624300">
      <w:bodyDiv w:val="1"/>
      <w:marLeft w:val="0"/>
      <w:marRight w:val="0"/>
      <w:marTop w:val="0"/>
      <w:marBottom w:val="0"/>
      <w:divBdr>
        <w:top w:val="none" w:sz="0" w:space="0" w:color="auto"/>
        <w:left w:val="none" w:sz="0" w:space="0" w:color="auto"/>
        <w:bottom w:val="none" w:sz="0" w:space="0" w:color="auto"/>
        <w:right w:val="none" w:sz="0" w:space="0" w:color="auto"/>
      </w:divBdr>
      <w:divsChild>
        <w:div w:id="605187725">
          <w:marLeft w:val="0"/>
          <w:marRight w:val="0"/>
          <w:marTop w:val="0"/>
          <w:marBottom w:val="0"/>
          <w:divBdr>
            <w:top w:val="none" w:sz="0" w:space="0" w:color="auto"/>
            <w:left w:val="none" w:sz="0" w:space="0" w:color="auto"/>
            <w:bottom w:val="none" w:sz="0" w:space="0" w:color="auto"/>
            <w:right w:val="none" w:sz="0" w:space="0" w:color="auto"/>
          </w:divBdr>
          <w:divsChild>
            <w:div w:id="126996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2256">
      <w:bodyDiv w:val="1"/>
      <w:marLeft w:val="0"/>
      <w:marRight w:val="0"/>
      <w:marTop w:val="0"/>
      <w:marBottom w:val="0"/>
      <w:divBdr>
        <w:top w:val="none" w:sz="0" w:space="0" w:color="auto"/>
        <w:left w:val="none" w:sz="0" w:space="0" w:color="auto"/>
        <w:bottom w:val="none" w:sz="0" w:space="0" w:color="auto"/>
        <w:right w:val="none" w:sz="0" w:space="0" w:color="auto"/>
      </w:divBdr>
      <w:divsChild>
        <w:div w:id="2044671352">
          <w:marLeft w:val="0"/>
          <w:marRight w:val="0"/>
          <w:marTop w:val="0"/>
          <w:marBottom w:val="0"/>
          <w:divBdr>
            <w:top w:val="none" w:sz="0" w:space="0" w:color="auto"/>
            <w:left w:val="none" w:sz="0" w:space="0" w:color="auto"/>
            <w:bottom w:val="none" w:sz="0" w:space="0" w:color="auto"/>
            <w:right w:val="none" w:sz="0" w:space="0" w:color="auto"/>
          </w:divBdr>
        </w:div>
      </w:divsChild>
    </w:div>
    <w:div w:id="1853642889">
      <w:bodyDiv w:val="1"/>
      <w:marLeft w:val="0"/>
      <w:marRight w:val="0"/>
      <w:marTop w:val="0"/>
      <w:marBottom w:val="0"/>
      <w:divBdr>
        <w:top w:val="none" w:sz="0" w:space="0" w:color="auto"/>
        <w:left w:val="none" w:sz="0" w:space="0" w:color="auto"/>
        <w:bottom w:val="none" w:sz="0" w:space="0" w:color="auto"/>
        <w:right w:val="none" w:sz="0" w:space="0" w:color="auto"/>
      </w:divBdr>
      <w:divsChild>
        <w:div w:id="263730629">
          <w:marLeft w:val="0"/>
          <w:marRight w:val="0"/>
          <w:marTop w:val="0"/>
          <w:marBottom w:val="0"/>
          <w:divBdr>
            <w:top w:val="none" w:sz="0" w:space="0" w:color="auto"/>
            <w:left w:val="none" w:sz="0" w:space="0" w:color="auto"/>
            <w:bottom w:val="none" w:sz="0" w:space="0" w:color="auto"/>
            <w:right w:val="none" w:sz="0" w:space="0" w:color="auto"/>
          </w:divBdr>
          <w:divsChild>
            <w:div w:id="51310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77112">
      <w:bodyDiv w:val="1"/>
      <w:marLeft w:val="0"/>
      <w:marRight w:val="0"/>
      <w:marTop w:val="0"/>
      <w:marBottom w:val="0"/>
      <w:divBdr>
        <w:top w:val="none" w:sz="0" w:space="0" w:color="auto"/>
        <w:left w:val="none" w:sz="0" w:space="0" w:color="auto"/>
        <w:bottom w:val="none" w:sz="0" w:space="0" w:color="auto"/>
        <w:right w:val="none" w:sz="0" w:space="0" w:color="auto"/>
      </w:divBdr>
      <w:divsChild>
        <w:div w:id="940180790">
          <w:marLeft w:val="0"/>
          <w:marRight w:val="0"/>
          <w:marTop w:val="0"/>
          <w:marBottom w:val="0"/>
          <w:divBdr>
            <w:top w:val="none" w:sz="0" w:space="0" w:color="auto"/>
            <w:left w:val="none" w:sz="0" w:space="0" w:color="auto"/>
            <w:bottom w:val="none" w:sz="0" w:space="0" w:color="auto"/>
            <w:right w:val="none" w:sz="0" w:space="0" w:color="auto"/>
          </w:divBdr>
          <w:divsChild>
            <w:div w:id="112735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1229</Words>
  <Characters>7009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ТО Управления Роспотребнадзора по РТ</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2023-09-20T12:59:00Z</dcterms:created>
  <dcterms:modified xsi:type="dcterms:W3CDTF">2023-09-22T08:49:00Z</dcterms:modified>
</cp:coreProperties>
</file>