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03" w:rsidRDefault="000C0B03" w:rsidP="00D75906">
      <w:pPr>
        <w:pStyle w:val="a3"/>
        <w:spacing w:before="0" w:beforeAutospacing="0" w:after="0" w:afterAutospacing="0"/>
        <w:rPr>
          <w:rFonts w:ascii="Segoe UI" w:hAnsi="Segoe UI" w:cs="Segoe UI"/>
          <w:b/>
          <w:bCs/>
          <w:color w:val="292C2F"/>
          <w:sz w:val="21"/>
          <w:szCs w:val="21"/>
        </w:rPr>
      </w:pPr>
      <w:r>
        <w:rPr>
          <w:rFonts w:ascii="Segoe UI" w:hAnsi="Segoe UI" w:cs="Segoe UI"/>
          <w:b/>
          <w:bCs/>
          <w:noProof/>
          <w:color w:val="292C2F"/>
          <w:sz w:val="21"/>
          <w:szCs w:val="21"/>
        </w:rPr>
        <w:drawing>
          <wp:anchor distT="0" distB="0" distL="114300" distR="114300" simplePos="0" relativeHeight="251659264" behindDoc="1" locked="0" layoutInCell="1" allowOverlap="1">
            <wp:simplePos x="0" y="0"/>
            <wp:positionH relativeFrom="margin">
              <wp:posOffset>-613410</wp:posOffset>
            </wp:positionH>
            <wp:positionV relativeFrom="paragraph">
              <wp:posOffset>-196215</wp:posOffset>
            </wp:positionV>
            <wp:extent cx="1438275" cy="590550"/>
            <wp:effectExtent l="19050" t="0" r="9525" b="0"/>
            <wp:wrapTight wrapText="bothSides">
              <wp:wrapPolygon edited="0">
                <wp:start x="-286" y="0"/>
                <wp:lineTo x="-286" y="20903"/>
                <wp:lineTo x="21743" y="20903"/>
                <wp:lineTo x="21743" y="0"/>
                <wp:lineTo x="-286"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38275" cy="590550"/>
                    </a:xfrm>
                    <a:prstGeom prst="rect">
                      <a:avLst/>
                    </a:prstGeom>
                    <a:noFill/>
                    <a:ln>
                      <a:noFill/>
                    </a:ln>
                  </pic:spPr>
                </pic:pic>
              </a:graphicData>
            </a:graphic>
          </wp:anchor>
        </w:drawing>
      </w:r>
      <w:r>
        <w:rPr>
          <w:rFonts w:ascii="Segoe UI" w:hAnsi="Segoe UI" w:cs="Segoe UI"/>
          <w:b/>
          <w:bCs/>
          <w:color w:val="292C2F"/>
          <w:sz w:val="21"/>
          <w:szCs w:val="21"/>
        </w:rPr>
        <w:t xml:space="preserve"> </w:t>
      </w:r>
    </w:p>
    <w:p w:rsidR="000C0B03" w:rsidRPr="008E2344" w:rsidRDefault="000C0B03" w:rsidP="000C0B03">
      <w:pPr>
        <w:spacing w:after="0" w:line="240" w:lineRule="atLeast"/>
        <w:rPr>
          <w:rFonts w:ascii="Segoe UI" w:hAnsi="Segoe UI" w:cs="Segoe UI"/>
          <w:sz w:val="32"/>
          <w:szCs w:val="32"/>
        </w:rPr>
      </w:pPr>
      <w:r>
        <w:rPr>
          <w:rFonts w:ascii="Segoe UI" w:hAnsi="Segoe UI" w:cs="Segoe UI"/>
          <w:sz w:val="32"/>
          <w:szCs w:val="32"/>
        </w:rPr>
        <w:t xml:space="preserve">                                                                    </w:t>
      </w:r>
      <w:r w:rsidRPr="008E2344">
        <w:rPr>
          <w:rFonts w:ascii="Segoe UI" w:hAnsi="Segoe UI" w:cs="Segoe UI"/>
          <w:sz w:val="32"/>
          <w:szCs w:val="32"/>
        </w:rPr>
        <w:t>Пресс-</w:t>
      </w:r>
      <w:r>
        <w:rPr>
          <w:rFonts w:ascii="Segoe UI" w:hAnsi="Segoe UI" w:cs="Segoe UI"/>
          <w:sz w:val="32"/>
          <w:szCs w:val="32"/>
        </w:rPr>
        <w:t>р</w:t>
      </w:r>
      <w:r w:rsidRPr="008E2344">
        <w:rPr>
          <w:rFonts w:ascii="Segoe UI" w:hAnsi="Segoe UI" w:cs="Segoe UI"/>
          <w:sz w:val="32"/>
          <w:szCs w:val="32"/>
        </w:rPr>
        <w:t>елиз</w:t>
      </w:r>
    </w:p>
    <w:p w:rsidR="000C0B03" w:rsidRDefault="00AE69C8" w:rsidP="000C0B03">
      <w:pPr>
        <w:spacing w:after="0" w:line="240" w:lineRule="atLeast"/>
        <w:ind w:left="7788"/>
        <w:jc w:val="right"/>
        <w:rPr>
          <w:rFonts w:ascii="Segoe UI" w:eastAsia="Calibri" w:hAnsi="Segoe UI" w:cs="Segoe UI"/>
          <w:b/>
          <w:sz w:val="24"/>
          <w:szCs w:val="28"/>
          <w:lang w:eastAsia="sk-SK"/>
        </w:rPr>
      </w:pPr>
      <w:r>
        <w:rPr>
          <w:rFonts w:ascii="Segoe UI" w:eastAsia="Calibri" w:hAnsi="Segoe UI" w:cs="Segoe UI"/>
          <w:b/>
          <w:sz w:val="24"/>
          <w:szCs w:val="28"/>
          <w:lang w:eastAsia="sk-SK"/>
        </w:rPr>
        <w:t>23</w:t>
      </w:r>
      <w:r w:rsidR="000C0B03">
        <w:rPr>
          <w:rFonts w:ascii="Segoe UI" w:eastAsia="Calibri" w:hAnsi="Segoe UI" w:cs="Segoe UI"/>
          <w:b/>
          <w:sz w:val="24"/>
          <w:szCs w:val="28"/>
          <w:lang w:eastAsia="sk-SK"/>
        </w:rPr>
        <w:t>.05.2022</w:t>
      </w:r>
    </w:p>
    <w:p w:rsidR="000C0B03" w:rsidRDefault="000C0B03" w:rsidP="00D75906">
      <w:pPr>
        <w:pStyle w:val="a3"/>
        <w:spacing w:before="0" w:beforeAutospacing="0" w:after="0" w:afterAutospacing="0"/>
        <w:rPr>
          <w:rFonts w:ascii="Segoe UI" w:hAnsi="Segoe UI" w:cs="Segoe UI"/>
          <w:b/>
          <w:bCs/>
          <w:color w:val="292C2F"/>
          <w:sz w:val="21"/>
          <w:szCs w:val="21"/>
        </w:rPr>
      </w:pPr>
    </w:p>
    <w:p w:rsidR="000C0B03" w:rsidRDefault="000C0B03" w:rsidP="00D75906">
      <w:pPr>
        <w:pStyle w:val="a3"/>
        <w:spacing w:before="0" w:beforeAutospacing="0" w:after="0" w:afterAutospacing="0"/>
        <w:rPr>
          <w:rFonts w:ascii="Segoe UI" w:hAnsi="Segoe UI" w:cs="Segoe UI"/>
          <w:b/>
          <w:bCs/>
          <w:color w:val="292C2F"/>
          <w:sz w:val="21"/>
          <w:szCs w:val="21"/>
        </w:rPr>
      </w:pPr>
    </w:p>
    <w:p w:rsidR="000C0B03" w:rsidRPr="000C0B03" w:rsidRDefault="000C0B03" w:rsidP="000C0B03">
      <w:pPr>
        <w:spacing w:after="0" w:line="240" w:lineRule="atLeast"/>
        <w:jc w:val="center"/>
        <w:rPr>
          <w:rFonts w:ascii="Segoe UI" w:hAnsi="Segoe UI" w:cs="Segoe UI"/>
          <w:b/>
          <w:sz w:val="28"/>
          <w:szCs w:val="28"/>
        </w:rPr>
      </w:pPr>
      <w:proofErr w:type="spellStart"/>
      <w:r w:rsidRPr="000C0B03">
        <w:rPr>
          <w:rFonts w:ascii="Segoe UI" w:hAnsi="Segoe UI" w:cs="Segoe UI"/>
          <w:b/>
          <w:sz w:val="28"/>
          <w:szCs w:val="28"/>
        </w:rPr>
        <w:t>Росреестр</w:t>
      </w:r>
      <w:proofErr w:type="spellEnd"/>
      <w:r w:rsidRPr="000C0B03">
        <w:rPr>
          <w:rFonts w:ascii="Segoe UI" w:hAnsi="Segoe UI" w:cs="Segoe UI"/>
          <w:b/>
          <w:sz w:val="28"/>
          <w:szCs w:val="28"/>
        </w:rPr>
        <w:t xml:space="preserve"> Татарстана разъясняет: </w:t>
      </w:r>
      <w:r w:rsidR="004414F6">
        <w:rPr>
          <w:rFonts w:ascii="Segoe UI" w:hAnsi="Segoe UI" w:cs="Segoe UI"/>
          <w:b/>
          <w:sz w:val="28"/>
          <w:szCs w:val="28"/>
        </w:rPr>
        <w:t>к</w:t>
      </w:r>
      <w:r w:rsidRPr="000C0B03">
        <w:rPr>
          <w:rFonts w:ascii="Segoe UI" w:hAnsi="Segoe UI" w:cs="Segoe UI"/>
          <w:b/>
          <w:sz w:val="28"/>
          <w:szCs w:val="28"/>
        </w:rPr>
        <w:t xml:space="preserve">ак воспользоваться </w:t>
      </w:r>
      <w:r w:rsidR="00AE69C8">
        <w:rPr>
          <w:rFonts w:ascii="Segoe UI" w:hAnsi="Segoe UI" w:cs="Segoe UI"/>
          <w:b/>
          <w:sz w:val="28"/>
          <w:szCs w:val="28"/>
        </w:rPr>
        <w:t>«дачной амнистией</w:t>
      </w:r>
      <w:r w:rsidRPr="000C0B03">
        <w:rPr>
          <w:rFonts w:ascii="Segoe UI" w:hAnsi="Segoe UI" w:cs="Segoe UI"/>
          <w:b/>
          <w:sz w:val="28"/>
          <w:szCs w:val="28"/>
        </w:rPr>
        <w:t>»</w:t>
      </w:r>
    </w:p>
    <w:p w:rsidR="000C0B03" w:rsidRDefault="000C0B03" w:rsidP="00D75906">
      <w:pPr>
        <w:pStyle w:val="a3"/>
        <w:spacing w:before="0" w:beforeAutospacing="0" w:after="0" w:afterAutospacing="0"/>
        <w:rPr>
          <w:rFonts w:ascii="Segoe UI" w:hAnsi="Segoe UI" w:cs="Segoe UI"/>
          <w:b/>
          <w:bCs/>
          <w:color w:val="292C2F"/>
          <w:sz w:val="21"/>
          <w:szCs w:val="21"/>
        </w:rPr>
      </w:pPr>
    </w:p>
    <w:p w:rsidR="000C0B03" w:rsidRDefault="000C0B03" w:rsidP="00D75906">
      <w:pPr>
        <w:pStyle w:val="a3"/>
        <w:spacing w:before="0" w:beforeAutospacing="0" w:after="0" w:afterAutospacing="0"/>
        <w:rPr>
          <w:rFonts w:ascii="Segoe UI" w:hAnsi="Segoe UI" w:cs="Segoe UI"/>
          <w:b/>
          <w:bCs/>
          <w:color w:val="292C2F"/>
          <w:sz w:val="21"/>
          <w:szCs w:val="21"/>
        </w:rPr>
      </w:pP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Что дает собственникам «дачная амнистия»?</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Действующие нормы законодательства позволяют в упрощенном порядке оформить права на определенные земельные участки и отдельные виды зданий, в том числе жилые и садовые дома. Такой порядок не требует наличия уведомлений о планируемом строительстве (реконструкции) таких объектов, об окончании их строительства (реконструкции).</w:t>
      </w: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Каков срок действия «дачной амнистии»?</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«Дачная амнистия» действует в России с 1 сентября 2006 года и несколько раз продлевалась. В настоящее время срок «дачной амнистии» установлен до 1 марта 2026 года. Однако с 1 сентября 2022 года ее срок будет продлен до 1 марта 2031 года в рамках так называемой «дачной амнистии 2.0» (Федеральный </w:t>
      </w:r>
      <w:hyperlink r:id="rId7" w:history="1">
        <w:r w:rsidRPr="000C0B03">
          <w:rPr>
            <w:sz w:val="24"/>
            <w:szCs w:val="24"/>
          </w:rPr>
          <w:t>закон</w:t>
        </w:r>
      </w:hyperlink>
      <w:r w:rsidRPr="000C0B03">
        <w:rPr>
          <w:rFonts w:ascii="Segoe UI" w:hAnsi="Segoe UI" w:cs="Segoe UI"/>
          <w:sz w:val="24"/>
          <w:szCs w:val="24"/>
        </w:rPr>
        <w:t> от 30 декабря 2021 года № 478-ФЗ).</w:t>
      </w:r>
    </w:p>
    <w:p w:rsidR="00D75906" w:rsidRPr="00B66101" w:rsidRDefault="00D75906" w:rsidP="000C0B03">
      <w:pPr>
        <w:jc w:val="both"/>
        <w:rPr>
          <w:rFonts w:ascii="Segoe UI" w:hAnsi="Segoe UI" w:cs="Segoe UI"/>
          <w:b/>
          <w:sz w:val="24"/>
          <w:szCs w:val="24"/>
        </w:rPr>
      </w:pPr>
      <w:bookmarkStart w:id="0" w:name="_GoBack"/>
      <w:bookmarkEnd w:id="0"/>
      <w:r w:rsidRPr="00B66101">
        <w:rPr>
          <w:rFonts w:ascii="Segoe UI" w:hAnsi="Segoe UI" w:cs="Segoe UI"/>
          <w:b/>
          <w:sz w:val="24"/>
          <w:szCs w:val="24"/>
        </w:rPr>
        <w:t>Какие объекты могут быть зарегистрированы в упрощенном порядке?</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По «дачной амнистии» можно оформить жилые и садовые дома, расположенные на земельных участках, предоставленных для садоводства, индивидуального жилищного строительства, ведения личного подсобного хозяйства в границах населенного пункта, для осуществления крестьянским (фермерским) хозяйством своей деятельности.</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Кроме того, указанные жилые дома должны соответствовать параметрам объекта индивидуального жилищного строительства (ИЖС), т.е. должны:</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быть не более 20 метров высотой;</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иметь не более трёх надземных этажей;</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состоять из комнат и помещений вспомогательного использования, предназначенных для удовлетворения гражданами бытовых и иных нужд, связанных с их проживанием в соответствующем здании.</w:t>
      </w: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Какие необходимы документы?</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lastRenderedPageBreak/>
        <w:t xml:space="preserve">Для оформления прав на объект капитального строительства в рамках «дачной амнистии» необходимо представить в орган регистрации </w:t>
      </w:r>
      <w:proofErr w:type="gramStart"/>
      <w:r w:rsidRPr="000C0B03">
        <w:rPr>
          <w:rFonts w:ascii="Segoe UI" w:hAnsi="Segoe UI" w:cs="Segoe UI"/>
          <w:sz w:val="24"/>
          <w:szCs w:val="24"/>
        </w:rPr>
        <w:t>прав</w:t>
      </w:r>
      <w:proofErr w:type="gramEnd"/>
      <w:r w:rsidRPr="000C0B03">
        <w:rPr>
          <w:rFonts w:ascii="Segoe UI" w:hAnsi="Segoe UI" w:cs="Segoe UI"/>
          <w:sz w:val="24"/>
          <w:szCs w:val="24"/>
        </w:rPr>
        <w:t xml:space="preserve"> следующие документы:</w:t>
      </w:r>
    </w:p>
    <w:p w:rsidR="00D75906" w:rsidRPr="000C0B03" w:rsidRDefault="00200460" w:rsidP="000C0B03">
      <w:pPr>
        <w:jc w:val="both"/>
        <w:rPr>
          <w:rFonts w:ascii="Segoe UI" w:hAnsi="Segoe UI" w:cs="Segoe UI"/>
          <w:sz w:val="24"/>
          <w:szCs w:val="24"/>
        </w:rPr>
      </w:pPr>
      <w:hyperlink r:id="rId8" w:history="1">
        <w:r w:rsidR="00D75906" w:rsidRPr="000C0B03">
          <w:rPr>
            <w:sz w:val="24"/>
            <w:szCs w:val="24"/>
          </w:rPr>
          <w:t>заявление</w:t>
        </w:r>
      </w:hyperlink>
      <w:r w:rsidR="00D75906" w:rsidRPr="000C0B03">
        <w:rPr>
          <w:rFonts w:ascii="Segoe UI" w:hAnsi="Segoe UI" w:cs="Segoe UI"/>
          <w:sz w:val="24"/>
          <w:szCs w:val="24"/>
        </w:rPr>
        <w:t> о государственном кадастровом учете и (или) государственной регистрации прав;</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технический план. Он составляется кадастровым инженером. Сведения в техническом плане указываются на основании </w:t>
      </w:r>
      <w:hyperlink r:id="rId9" w:history="1">
        <w:r w:rsidRPr="000C0B03">
          <w:rPr>
            <w:sz w:val="24"/>
            <w:szCs w:val="24"/>
          </w:rPr>
          <w:t>декларации</w:t>
        </w:r>
      </w:hyperlink>
      <w:r w:rsidRPr="000C0B03">
        <w:rPr>
          <w:rFonts w:ascii="Segoe UI" w:hAnsi="Segoe UI" w:cs="Segoe UI"/>
          <w:sz w:val="24"/>
          <w:szCs w:val="24"/>
        </w:rPr>
        <w:t> об объекте недвижимости, составленной и заверенной собственником земельного участка, на котором расположен соответствующий объект недвижимости.</w:t>
      </w: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Важно! Перед заключением договора на выполнение кадастровых работ рекомендуем проверить:</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сведения о кадастровом инженере в </w:t>
      </w:r>
      <w:hyperlink r:id="rId10" w:history="1">
        <w:r w:rsidRPr="000C0B03">
          <w:rPr>
            <w:sz w:val="24"/>
            <w:szCs w:val="24"/>
          </w:rPr>
          <w:t>государственном реестре кадастровых инженеров</w:t>
        </w:r>
      </w:hyperlink>
      <w:r w:rsidRPr="000C0B03">
        <w:rPr>
          <w:rFonts w:ascii="Segoe UI" w:hAnsi="Segoe UI" w:cs="Segoe UI"/>
          <w:sz w:val="24"/>
          <w:szCs w:val="24"/>
        </w:rPr>
        <w:t xml:space="preserve">, размещенном на официальном сайте </w:t>
      </w:r>
      <w:proofErr w:type="spellStart"/>
      <w:r w:rsidRPr="000C0B03">
        <w:rPr>
          <w:rFonts w:ascii="Segoe UI" w:hAnsi="Segoe UI" w:cs="Segoe UI"/>
          <w:sz w:val="24"/>
          <w:szCs w:val="24"/>
        </w:rPr>
        <w:t>Росреестра</w:t>
      </w:r>
      <w:proofErr w:type="spellEnd"/>
      <w:r w:rsidRPr="000C0B03">
        <w:rPr>
          <w:rFonts w:ascii="Segoe UI" w:hAnsi="Segoe UI" w:cs="Segoe UI"/>
          <w:sz w:val="24"/>
          <w:szCs w:val="24"/>
        </w:rPr>
        <w:t>;</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правоустанавливающий документ на земельный участок. К ним относятся договоры дарения, купли-продажи, мены, свидетельства о праве наследство, решения судов о признании права собственности на земельный участок, акты органов государственной власти или местного самоуправления (постановления о предоставлении участка).</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Важно! В случае, если право на земельный участок зарегистрировано в ЕГРН, документ представлять не требуется.</w:t>
      </w: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Куда подавать документы для регистрации прав?</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Подготовленный пакет документов можно представить следующими способами:</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в бумажном виде при личном визите в МФЦ;</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в электронном виде (при наличии сертификата усиленной квалифицированной электронной подписи) через личный кабинет на официальном </w:t>
      </w:r>
      <w:hyperlink r:id="rId11" w:anchor="/" w:history="1">
        <w:r w:rsidRPr="000C0B03">
          <w:rPr>
            <w:sz w:val="24"/>
            <w:szCs w:val="24"/>
          </w:rPr>
          <w:t>сайте</w:t>
        </w:r>
      </w:hyperlink>
      <w:r w:rsidRPr="000C0B03">
        <w:rPr>
          <w:rFonts w:ascii="Segoe UI" w:hAnsi="Segoe UI" w:cs="Segoe UI"/>
          <w:sz w:val="24"/>
          <w:szCs w:val="24"/>
        </w:rPr>
        <w:t> </w:t>
      </w:r>
      <w:proofErr w:type="spellStart"/>
      <w:r w:rsidRPr="000C0B03">
        <w:rPr>
          <w:rFonts w:ascii="Segoe UI" w:hAnsi="Segoe UI" w:cs="Segoe UI"/>
          <w:sz w:val="24"/>
          <w:szCs w:val="24"/>
        </w:rPr>
        <w:t>Росреестра</w:t>
      </w:r>
      <w:proofErr w:type="spellEnd"/>
      <w:r w:rsidRPr="000C0B03">
        <w:rPr>
          <w:rFonts w:ascii="Segoe UI" w:hAnsi="Segoe UI" w:cs="Segoe UI"/>
          <w:sz w:val="24"/>
          <w:szCs w:val="24"/>
        </w:rPr>
        <w:t>.</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Обращаем внимание! Государственная пошлина за государственную регистрацию права собственности составляет 350 рублей. При этом необходимо уточнить, что указанный размер пошлины применяется только при первичной регистрации прав на объект недвижимости (то есть, не распространяется на случаи регистрации права, например, по наследству, на основании какого-либо договора и т.п., когда размер пошлины за регистрацию права будет составлять 2000 рублей).</w:t>
      </w: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Могут ли наследники воспользоваться «дачной амнистией»?</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Наследники могут воспользоваться упрощенным порядком оформления жилого или садового дома, расположенного на соответствующем земельном участке, если право наследодателя на такой дом не было зарегистрировано в установленном порядке.</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lastRenderedPageBreak/>
        <w:t>Для этого вместе с пакетом необходимых документов нужно представить в орган регистрации прав свидетельство о праве на наследство на земельный участок, на котором расположен такой дом. В этом случае государственная регистрация права собственности наследника на земельный участок и расположенный на нем жилой дом (а также постановка на кадастровый учет этого дома при наличии соответствующих заявления и документов, если дом не учтен в ЕГРН) осуществляются одновременно.</w:t>
      </w: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Как закон регламентирует оформление объектов ИЖС и садовых домов, строительство которых было начато до 4 августа 2018 года?</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«Дачная амнистия» на пять лет продлевает возможность непредставления уведомлений о планируемом строительстве (реконструкции) и об окончании строительства (реконструкции). Ее действие распространяется также на те случаи, когда строительство было начато до 4 августа 2018 года без получения соответствующего разрешения. При этом для кадастрового учета и (или) регистрации права потребуется стандартный пакет документов.</w:t>
      </w:r>
    </w:p>
    <w:p w:rsidR="00D75906" w:rsidRPr="00B66101" w:rsidRDefault="00D75906" w:rsidP="000C0B03">
      <w:pPr>
        <w:jc w:val="both"/>
        <w:rPr>
          <w:rFonts w:ascii="Segoe UI" w:hAnsi="Segoe UI" w:cs="Segoe UI"/>
          <w:i/>
          <w:sz w:val="24"/>
          <w:szCs w:val="24"/>
        </w:rPr>
      </w:pPr>
      <w:r w:rsidRPr="00B66101">
        <w:rPr>
          <w:rFonts w:ascii="Segoe UI" w:hAnsi="Segoe UI" w:cs="Segoe UI"/>
          <w:i/>
          <w:sz w:val="24"/>
          <w:szCs w:val="24"/>
        </w:rPr>
        <w:t>Можно ли оформить дом в уведомительном порядке?</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Действующее законодательство позволяет по желанию собственника оформить жилой или садовый дом, построенный как до, так и после 4 августа 2018 года, в уведомительном порядке.</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Для этого необходимо уведомить орган местного самоуправления о планируемом строительстве (реконструкции) и о его завершении, соответствующее заявление в этом случае в орган регистрации прав обязан направить орган местного самоуправления.</w:t>
      </w:r>
    </w:p>
    <w:p w:rsidR="008A58C5" w:rsidRPr="000C0B03" w:rsidRDefault="008A58C5" w:rsidP="000C0B03">
      <w:pPr>
        <w:jc w:val="both"/>
        <w:rPr>
          <w:rFonts w:ascii="Segoe UI" w:hAnsi="Segoe UI" w:cs="Segoe UI"/>
          <w:sz w:val="24"/>
          <w:szCs w:val="24"/>
        </w:rPr>
      </w:pPr>
    </w:p>
    <w:p w:rsidR="000C0B03" w:rsidRDefault="000C0B03">
      <w:pPr>
        <w:rPr>
          <w:rFonts w:ascii="Segoe UI" w:hAnsi="Segoe UI" w:cs="Segoe UI"/>
        </w:rPr>
      </w:pPr>
    </w:p>
    <w:p w:rsidR="000C0B03" w:rsidRDefault="000C0B03" w:rsidP="000C0B03">
      <w:pPr>
        <w:spacing w:after="0" w:line="240" w:lineRule="atLeast"/>
        <w:rPr>
          <w:rFonts w:ascii="Segoe UI Light" w:eastAsia="Calibri" w:hAnsi="Segoe UI Light" w:cs="Segoe UI Light"/>
          <w:b/>
          <w:sz w:val="32"/>
          <w:szCs w:val="32"/>
          <w:lang w:eastAsia="sk-SK"/>
        </w:rPr>
      </w:pPr>
      <w:r>
        <w:rPr>
          <w:rFonts w:ascii="Segoe UI Light" w:eastAsia="Calibri" w:hAnsi="Segoe UI Light" w:cs="Segoe UI Light"/>
          <w:b/>
          <w:sz w:val="32"/>
          <w:szCs w:val="32"/>
          <w:lang w:eastAsia="sk-SK"/>
        </w:rPr>
        <w:t xml:space="preserve">                                                                                  </w:t>
      </w:r>
    </w:p>
    <w:p w:rsidR="000C0B03" w:rsidRDefault="000C0B03" w:rsidP="000C0B03">
      <w:pPr>
        <w:spacing w:after="0" w:line="240" w:lineRule="atLeast"/>
        <w:jc w:val="center"/>
        <w:rPr>
          <w:rFonts w:ascii="Segoe UI" w:hAnsi="Segoe UI" w:cs="Segoe UI"/>
          <w:b/>
          <w:sz w:val="28"/>
          <w:szCs w:val="28"/>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Pr="00053F3F" w:rsidRDefault="000C0B03" w:rsidP="000C0B03">
      <w:pPr>
        <w:spacing w:after="0" w:line="240" w:lineRule="auto"/>
        <w:jc w:val="right"/>
        <w:rPr>
          <w:rFonts w:ascii="Segoe UI" w:eastAsia="Times New Roman" w:hAnsi="Segoe UI" w:cs="Segoe UI"/>
          <w:b/>
          <w:sz w:val="20"/>
          <w:szCs w:val="20"/>
        </w:rPr>
      </w:pPr>
      <w:r w:rsidRPr="00053F3F">
        <w:rPr>
          <w:rFonts w:ascii="Segoe UI" w:eastAsia="Times New Roman" w:hAnsi="Segoe UI" w:cs="Segoe UI"/>
          <w:b/>
          <w:sz w:val="20"/>
          <w:szCs w:val="20"/>
        </w:rPr>
        <w:t>Контакты для СМИ</w:t>
      </w:r>
    </w:p>
    <w:p w:rsidR="000C0B03" w:rsidRPr="00053F3F" w:rsidRDefault="000C0B03" w:rsidP="000C0B03">
      <w:pPr>
        <w:spacing w:after="0" w:line="240" w:lineRule="auto"/>
        <w:jc w:val="right"/>
        <w:rPr>
          <w:rFonts w:ascii="Segoe UI" w:eastAsia="Times New Roman" w:hAnsi="Segoe UI" w:cs="Segoe UI"/>
          <w:sz w:val="20"/>
          <w:szCs w:val="20"/>
        </w:rPr>
      </w:pPr>
      <w:r w:rsidRPr="00053F3F">
        <w:rPr>
          <w:rFonts w:ascii="Segoe UI" w:eastAsia="Times New Roman" w:hAnsi="Segoe UI" w:cs="Segoe UI"/>
          <w:sz w:val="20"/>
          <w:szCs w:val="20"/>
        </w:rPr>
        <w:t xml:space="preserve">Пресс-служба </w:t>
      </w:r>
      <w:proofErr w:type="spellStart"/>
      <w:r w:rsidRPr="00053F3F">
        <w:rPr>
          <w:rFonts w:ascii="Segoe UI" w:eastAsia="Times New Roman" w:hAnsi="Segoe UI" w:cs="Segoe UI"/>
          <w:sz w:val="20"/>
          <w:szCs w:val="20"/>
        </w:rPr>
        <w:t>Росреестра</w:t>
      </w:r>
      <w:proofErr w:type="spellEnd"/>
      <w:r w:rsidRPr="00053F3F">
        <w:rPr>
          <w:rFonts w:ascii="Segoe UI" w:eastAsia="Times New Roman" w:hAnsi="Segoe UI" w:cs="Segoe UI"/>
          <w:sz w:val="20"/>
          <w:szCs w:val="20"/>
        </w:rPr>
        <w:t xml:space="preserve"> Татарстана </w:t>
      </w:r>
    </w:p>
    <w:p w:rsidR="000C0B03" w:rsidRPr="00053F3F" w:rsidRDefault="000C0B03" w:rsidP="000C0B03">
      <w:pPr>
        <w:spacing w:after="0" w:line="240" w:lineRule="auto"/>
        <w:jc w:val="right"/>
        <w:rPr>
          <w:rFonts w:ascii="Segoe UI" w:eastAsia="Times New Roman" w:hAnsi="Segoe UI" w:cs="Segoe UI"/>
          <w:sz w:val="20"/>
          <w:szCs w:val="20"/>
        </w:rPr>
      </w:pPr>
      <w:r w:rsidRPr="00053F3F">
        <w:rPr>
          <w:rFonts w:ascii="Segoe UI" w:eastAsia="Times New Roman" w:hAnsi="Segoe UI" w:cs="Segoe UI"/>
          <w:sz w:val="20"/>
          <w:szCs w:val="20"/>
        </w:rPr>
        <w:t xml:space="preserve">255-25-80 – </w:t>
      </w:r>
      <w:proofErr w:type="spellStart"/>
      <w:r w:rsidRPr="00053F3F">
        <w:rPr>
          <w:rFonts w:ascii="Segoe UI" w:eastAsia="Times New Roman" w:hAnsi="Segoe UI" w:cs="Segoe UI"/>
          <w:sz w:val="20"/>
          <w:szCs w:val="20"/>
        </w:rPr>
        <w:t>Галиуллина</w:t>
      </w:r>
      <w:proofErr w:type="spellEnd"/>
      <w:r w:rsidRPr="00053F3F">
        <w:rPr>
          <w:rFonts w:ascii="Segoe UI" w:eastAsia="Times New Roman" w:hAnsi="Segoe UI" w:cs="Segoe UI"/>
          <w:sz w:val="20"/>
          <w:szCs w:val="20"/>
        </w:rPr>
        <w:t xml:space="preserve"> Галина</w:t>
      </w:r>
    </w:p>
    <w:p w:rsidR="000C0B03" w:rsidRPr="00053F3F" w:rsidRDefault="00200460" w:rsidP="000C0B03">
      <w:pPr>
        <w:spacing w:after="0" w:line="240" w:lineRule="auto"/>
        <w:jc w:val="right"/>
        <w:rPr>
          <w:rFonts w:ascii="Segoe UI" w:eastAsia="Times New Roman" w:hAnsi="Segoe UI" w:cs="Segoe UI"/>
          <w:sz w:val="20"/>
          <w:szCs w:val="20"/>
        </w:rPr>
      </w:pPr>
      <w:hyperlink r:id="rId12" w:history="1">
        <w:r w:rsidR="000C0B03" w:rsidRPr="00053F3F">
          <w:rPr>
            <w:rFonts w:ascii="Segoe UI" w:eastAsia="Times New Roman" w:hAnsi="Segoe UI" w:cs="Segoe UI"/>
            <w:sz w:val="20"/>
            <w:szCs w:val="20"/>
          </w:rPr>
          <w:t>https://rosreestr.tatarstan.ru</w:t>
        </w:r>
      </w:hyperlink>
    </w:p>
    <w:p w:rsidR="000C0B03" w:rsidRPr="00053F3F" w:rsidRDefault="000C0B03" w:rsidP="000C0B03">
      <w:pPr>
        <w:spacing w:after="0" w:line="240" w:lineRule="auto"/>
        <w:jc w:val="right"/>
        <w:rPr>
          <w:rFonts w:ascii="Segoe UI" w:eastAsia="Times New Roman" w:hAnsi="Segoe UI" w:cs="Segoe UI"/>
          <w:sz w:val="20"/>
          <w:szCs w:val="20"/>
        </w:rPr>
      </w:pPr>
      <w:r w:rsidRPr="00053F3F">
        <w:rPr>
          <w:rFonts w:ascii="Segoe UI" w:eastAsia="Times New Roman" w:hAnsi="Segoe UI" w:cs="Segoe UI"/>
          <w:sz w:val="20"/>
          <w:szCs w:val="20"/>
        </w:rPr>
        <w:t>https://vk.com/rosreestr16</w:t>
      </w:r>
    </w:p>
    <w:p w:rsidR="000C0B03" w:rsidRPr="00965F71" w:rsidRDefault="000C0B03" w:rsidP="000C0B03">
      <w:pPr>
        <w:spacing w:after="0" w:line="240" w:lineRule="auto"/>
        <w:jc w:val="right"/>
        <w:rPr>
          <w:rFonts w:ascii="Segoe UI" w:hAnsi="Segoe UI" w:cs="Segoe UI"/>
        </w:rPr>
      </w:pPr>
      <w:r w:rsidRPr="00053F3F">
        <w:rPr>
          <w:rFonts w:ascii="Segoe UI" w:eastAsia="Times New Roman" w:hAnsi="Segoe UI" w:cs="Segoe UI"/>
          <w:sz w:val="20"/>
          <w:szCs w:val="20"/>
        </w:rPr>
        <w:t>https://t.me/rosreestr_tatarstan</w:t>
      </w:r>
      <w:r>
        <w:rPr>
          <w:sz w:val="28"/>
          <w:szCs w:val="28"/>
        </w:rPr>
        <w:t xml:space="preserve">    </w:t>
      </w:r>
    </w:p>
    <w:sectPr w:rsidR="000C0B03" w:rsidRPr="00965F71" w:rsidSect="009B49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0654"/>
    <w:multiLevelType w:val="multilevel"/>
    <w:tmpl w:val="EC70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A1F30"/>
    <w:multiLevelType w:val="multilevel"/>
    <w:tmpl w:val="4A6E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7C0253"/>
    <w:multiLevelType w:val="multilevel"/>
    <w:tmpl w:val="BB90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8772C9"/>
    <w:multiLevelType w:val="multilevel"/>
    <w:tmpl w:val="B274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5906"/>
    <w:rsid w:val="000C0B03"/>
    <w:rsid w:val="00200460"/>
    <w:rsid w:val="004414F6"/>
    <w:rsid w:val="00580ADB"/>
    <w:rsid w:val="007E35B8"/>
    <w:rsid w:val="008A58C5"/>
    <w:rsid w:val="00965F71"/>
    <w:rsid w:val="009B4968"/>
    <w:rsid w:val="00AE69C8"/>
    <w:rsid w:val="00B66101"/>
    <w:rsid w:val="00D759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9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5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75906"/>
    <w:rPr>
      <w:color w:val="0000FF"/>
      <w:u w:val="single"/>
    </w:rPr>
  </w:style>
  <w:style w:type="paragraph" w:styleId="a5">
    <w:name w:val="Balloon Text"/>
    <w:basedOn w:val="a"/>
    <w:link w:val="a6"/>
    <w:uiPriority w:val="99"/>
    <w:semiHidden/>
    <w:unhideWhenUsed/>
    <w:rsid w:val="00965F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65F7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6794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activity/okazanie-gosudarstvennykh-uslug/kadastrovyy-uchet-i-ili-registratsiya-prav-/formaty-dokument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405468/" TargetMode="External"/><Relationship Id="rId12" Type="http://schemas.openxmlformats.org/officeDocument/2006/relationships/hyperlink" Target="https://rosreestr.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rosreestr.gov.ru/wps/portal/p/cc_present/reg_rights" TargetMode="External"/><Relationship Id="rId5" Type="http://schemas.openxmlformats.org/officeDocument/2006/relationships/webSettings" Target="webSettings.xml"/><Relationship Id="rId10" Type="http://schemas.openxmlformats.org/officeDocument/2006/relationships/hyperlink" Target="https://rosreestr.gov.ru/wps/portal/p/cc_ib_portal_services/cc_ib_sro_reestrs" TargetMode="External"/><Relationship Id="rId4" Type="http://schemas.openxmlformats.org/officeDocument/2006/relationships/settings" Target="settings.xml"/><Relationship Id="rId9" Type="http://schemas.openxmlformats.org/officeDocument/2006/relationships/hyperlink" Target="https://rosreestr.gov.ru/activity/okazanie-gosudarstvennykh-uslug/kadastrovyy-uchet-i-ili-registratsiya-prav-/formaty-dokumento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2F6B0-2B40-4B7F-9CC7-5CA27270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927</Words>
  <Characters>5287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GIBADULLINRR</dc:creator>
  <cp:keywords/>
  <dc:description/>
  <cp:lastModifiedBy>RadyginaOV</cp:lastModifiedBy>
  <cp:revision>7</cp:revision>
  <cp:lastPrinted>2022-05-17T08:32:00Z</cp:lastPrinted>
  <dcterms:created xsi:type="dcterms:W3CDTF">2022-05-17T08:50:00Z</dcterms:created>
  <dcterms:modified xsi:type="dcterms:W3CDTF">2022-05-23T08:30:00Z</dcterms:modified>
</cp:coreProperties>
</file>