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C" w:rsidRDefault="001D0778" w:rsidP="004219A1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-114300</wp:posOffset>
            </wp:positionV>
            <wp:extent cx="1533525" cy="629920"/>
            <wp:effectExtent l="19050" t="0" r="9525" b="0"/>
            <wp:wrapTight wrapText="bothSides">
              <wp:wrapPolygon edited="0">
                <wp:start x="-268" y="0"/>
                <wp:lineTo x="-268" y="20903"/>
                <wp:lineTo x="21734" y="20903"/>
                <wp:lineTo x="21734" y="0"/>
                <wp:lineTo x="-26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</w:t>
      </w:r>
    </w:p>
    <w:p w:rsidR="008E4274" w:rsidRDefault="00EE661C" w:rsidP="008C64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274" w:rsidRDefault="00164BE1" w:rsidP="008E4274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19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8B6B5D" w:rsidRDefault="00EE661C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02C57">
        <w:rPr>
          <w:rFonts w:ascii="Segoe UI" w:hAnsi="Segoe UI" w:cs="Segoe UI"/>
          <w:b/>
          <w:sz w:val="28"/>
          <w:szCs w:val="28"/>
        </w:rPr>
        <w:t xml:space="preserve">   </w:t>
      </w:r>
    </w:p>
    <w:p w:rsidR="008C649E" w:rsidRDefault="00F30450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рассказал, как выбрать </w:t>
      </w:r>
      <w:r w:rsidR="00D6136E">
        <w:rPr>
          <w:rFonts w:ascii="Segoe UI" w:hAnsi="Segoe UI" w:cs="Segoe UI"/>
          <w:b/>
          <w:sz w:val="28"/>
          <w:szCs w:val="28"/>
        </w:rPr>
        <w:t>специалиста для проведения кадастровых работ</w:t>
      </w:r>
    </w:p>
    <w:p w:rsidR="00C620B4" w:rsidRPr="008E4274" w:rsidRDefault="00C620B4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F2680E" w:rsidRPr="00F30450" w:rsidRDefault="00F30450" w:rsidP="00716534">
      <w:pPr>
        <w:jc w:val="both"/>
        <w:rPr>
          <w:rFonts w:ascii="Segoe UI" w:hAnsi="Segoe UI" w:cs="Segoe UI"/>
        </w:rPr>
      </w:pPr>
      <w:r w:rsidRPr="00F30450">
        <w:rPr>
          <w:rFonts w:ascii="Segoe UI" w:hAnsi="Segoe UI" w:cs="Segoe UI"/>
        </w:rPr>
        <w:t>С приходом весны многие татарстанцы планируют провести кадастр</w:t>
      </w:r>
      <w:r>
        <w:rPr>
          <w:rFonts w:ascii="Segoe UI" w:hAnsi="Segoe UI" w:cs="Segoe UI"/>
        </w:rPr>
        <w:t>овые работы</w:t>
      </w:r>
      <w:r w:rsidR="00F30E0C">
        <w:rPr>
          <w:rFonts w:ascii="Segoe UI" w:hAnsi="Segoe UI" w:cs="Segoe UI"/>
        </w:rPr>
        <w:t xml:space="preserve"> -  установить </w:t>
      </w:r>
      <w:r w:rsidRPr="00F30450">
        <w:rPr>
          <w:rFonts w:ascii="Segoe UI" w:hAnsi="Segoe UI" w:cs="Segoe UI"/>
        </w:rPr>
        <w:t>границ</w:t>
      </w:r>
      <w:r w:rsidR="00F30E0C">
        <w:rPr>
          <w:rFonts w:ascii="Segoe UI" w:hAnsi="Segoe UI" w:cs="Segoe UI"/>
        </w:rPr>
        <w:t>ы</w:t>
      </w:r>
      <w:r w:rsidRPr="00F30450">
        <w:rPr>
          <w:rFonts w:ascii="Segoe UI" w:hAnsi="Segoe UI" w:cs="Segoe UI"/>
        </w:rPr>
        <w:t xml:space="preserve"> </w:t>
      </w:r>
      <w:r w:rsidR="00F30E0C">
        <w:rPr>
          <w:rFonts w:ascii="Segoe UI" w:hAnsi="Segoe UI" w:cs="Segoe UI"/>
        </w:rPr>
        <w:t xml:space="preserve">своих </w:t>
      </w:r>
      <w:r w:rsidRPr="00F30450">
        <w:rPr>
          <w:rFonts w:ascii="Segoe UI" w:hAnsi="Segoe UI" w:cs="Segoe UI"/>
        </w:rPr>
        <w:t>земельных участков</w:t>
      </w:r>
      <w:r w:rsidR="00F30E0C">
        <w:rPr>
          <w:rFonts w:ascii="Segoe UI" w:hAnsi="Segoe UI" w:cs="Segoe UI"/>
        </w:rPr>
        <w:t>, уточнить их площадь, определить</w:t>
      </w:r>
      <w:r w:rsidR="00F30E0C" w:rsidRPr="00F30450">
        <w:rPr>
          <w:rFonts w:ascii="Segoe UI" w:hAnsi="Segoe UI" w:cs="Segoe UI"/>
        </w:rPr>
        <w:t xml:space="preserve"> </w:t>
      </w:r>
      <w:r w:rsidR="00F30E0C">
        <w:rPr>
          <w:rFonts w:ascii="Segoe UI" w:hAnsi="Segoe UI" w:cs="Segoe UI"/>
        </w:rPr>
        <w:t xml:space="preserve"> на них </w:t>
      </w:r>
      <w:r w:rsidR="00F30E0C" w:rsidRPr="00F30450">
        <w:rPr>
          <w:rFonts w:ascii="Segoe UI" w:hAnsi="Segoe UI" w:cs="Segoe UI"/>
        </w:rPr>
        <w:t xml:space="preserve">местоположение </w:t>
      </w:r>
      <w:r w:rsidRPr="00F30450">
        <w:rPr>
          <w:rFonts w:ascii="Segoe UI" w:hAnsi="Segoe UI" w:cs="Segoe UI"/>
        </w:rPr>
        <w:t>объектов капитального строительства</w:t>
      </w:r>
      <w:r w:rsidR="00F30E0C">
        <w:rPr>
          <w:rFonts w:ascii="Segoe UI" w:hAnsi="Segoe UI" w:cs="Segoe UI"/>
        </w:rPr>
        <w:t xml:space="preserve"> и т.д. В результате этой работы на руки заказчику кадастровых работ выдается</w:t>
      </w:r>
      <w:r w:rsidRPr="00F30450">
        <w:rPr>
          <w:rFonts w:ascii="Segoe UI" w:hAnsi="Segoe UI" w:cs="Segoe UI"/>
        </w:rPr>
        <w:t xml:space="preserve"> межевой или технический</w:t>
      </w:r>
      <w:r w:rsidR="00F30E0C">
        <w:rPr>
          <w:rFonts w:ascii="Segoe UI" w:hAnsi="Segoe UI" w:cs="Segoe UI"/>
        </w:rPr>
        <w:t xml:space="preserve"> план, </w:t>
      </w:r>
      <w:r>
        <w:rPr>
          <w:rFonts w:ascii="Segoe UI" w:hAnsi="Segoe UI" w:cs="Segoe UI"/>
        </w:rPr>
        <w:t xml:space="preserve">акт обследования. </w:t>
      </w:r>
    </w:p>
    <w:p w:rsidR="00F14C47" w:rsidRDefault="00F14C47" w:rsidP="00716534">
      <w:pPr>
        <w:jc w:val="both"/>
        <w:rPr>
          <w:rFonts w:ascii="Segoe UI" w:hAnsi="Segoe UI" w:cs="Segoe UI"/>
          <w:b/>
        </w:rPr>
      </w:pPr>
    </w:p>
    <w:p w:rsidR="00F30450" w:rsidRDefault="00F14C47" w:rsidP="00716534">
      <w:pPr>
        <w:jc w:val="both"/>
        <w:rPr>
          <w:rFonts w:ascii="Segoe UI" w:hAnsi="Segoe UI" w:cs="Segoe UI"/>
        </w:rPr>
      </w:pPr>
      <w:r w:rsidRPr="00F14C47">
        <w:rPr>
          <w:rFonts w:ascii="Segoe UI" w:hAnsi="Segoe UI" w:cs="Segoe UI"/>
        </w:rPr>
        <w:t xml:space="preserve">Как пояснили в </w:t>
      </w:r>
      <w:proofErr w:type="spellStart"/>
      <w:r w:rsidRPr="00F14C47">
        <w:rPr>
          <w:rFonts w:ascii="Segoe UI" w:hAnsi="Segoe UI" w:cs="Segoe UI"/>
        </w:rPr>
        <w:t>Росреестре</w:t>
      </w:r>
      <w:proofErr w:type="spellEnd"/>
      <w:r w:rsidRPr="00F14C47">
        <w:rPr>
          <w:rFonts w:ascii="Segoe UI" w:hAnsi="Segoe UI" w:cs="Segoe UI"/>
        </w:rPr>
        <w:t xml:space="preserve"> Татарстана, техническая документация необходима при оформлении недвижимости, для постановки объекта на кадастровый учет или, наоборот, его снятия, а также для учета изменений (например, изменение площади помещения).</w:t>
      </w:r>
    </w:p>
    <w:p w:rsidR="007A16F6" w:rsidRDefault="007A16F6" w:rsidP="00716534">
      <w:pPr>
        <w:jc w:val="both"/>
        <w:rPr>
          <w:rFonts w:ascii="Segoe UI" w:hAnsi="Segoe UI" w:cs="Segoe UI"/>
        </w:rPr>
      </w:pPr>
    </w:p>
    <w:p w:rsidR="00F30E0C" w:rsidRDefault="00F30E0C" w:rsidP="00F30E0C">
      <w:pPr>
        <w:jc w:val="both"/>
        <w:rPr>
          <w:rFonts w:ascii="Segoe UI" w:hAnsi="Segoe UI" w:cs="Segoe UI"/>
        </w:rPr>
      </w:pPr>
      <w:r w:rsidRPr="00F30450">
        <w:rPr>
          <w:rFonts w:ascii="Segoe UI" w:hAnsi="Segoe UI" w:cs="Segoe UI"/>
        </w:rPr>
        <w:t xml:space="preserve">Для проведения </w:t>
      </w:r>
      <w:r w:rsidR="002D00E1">
        <w:rPr>
          <w:rFonts w:ascii="Segoe UI" w:hAnsi="Segoe UI" w:cs="Segoe UI"/>
        </w:rPr>
        <w:t xml:space="preserve">данных </w:t>
      </w:r>
      <w:r w:rsidRPr="00F30450">
        <w:rPr>
          <w:rFonts w:ascii="Segoe UI" w:hAnsi="Segoe UI" w:cs="Segoe UI"/>
        </w:rPr>
        <w:t>работ необходимо пригласить</w:t>
      </w:r>
      <w:r>
        <w:rPr>
          <w:rFonts w:ascii="Segoe UI" w:hAnsi="Segoe UI" w:cs="Segoe UI"/>
        </w:rPr>
        <w:t xml:space="preserve"> кадастрового инженера.  </w:t>
      </w:r>
      <w:r w:rsidRPr="000A1515">
        <w:rPr>
          <w:rFonts w:ascii="Segoe UI" w:hAnsi="Segoe UI" w:cs="Segoe UI"/>
        </w:rPr>
        <w:t xml:space="preserve">Такой специалист оказывает услуги как индивидуальный предприниматель или как </w:t>
      </w:r>
      <w:r>
        <w:rPr>
          <w:rFonts w:ascii="Segoe UI" w:hAnsi="Segoe UI" w:cs="Segoe UI"/>
        </w:rPr>
        <w:t>представитель</w:t>
      </w:r>
      <w:r w:rsidRPr="000A1515">
        <w:rPr>
          <w:rFonts w:ascii="Segoe UI" w:hAnsi="Segoe UI" w:cs="Segoe UI"/>
        </w:rPr>
        <w:t xml:space="preserve"> юридического лица</w:t>
      </w:r>
      <w:r>
        <w:rPr>
          <w:rFonts w:ascii="Segoe UI" w:hAnsi="Segoe UI" w:cs="Segoe UI"/>
        </w:rPr>
        <w:t>, при этом кадастровый инженер обязательно</w:t>
      </w:r>
      <w:r w:rsidRPr="000A1515">
        <w:rPr>
          <w:rFonts w:ascii="Segoe UI" w:hAnsi="Segoe UI" w:cs="Segoe UI"/>
        </w:rPr>
        <w:t xml:space="preserve"> должен </w:t>
      </w:r>
      <w:r>
        <w:rPr>
          <w:rFonts w:ascii="Segoe UI" w:hAnsi="Segoe UI" w:cs="Segoe UI"/>
        </w:rPr>
        <w:t>быть членом</w:t>
      </w:r>
      <w:r w:rsidRPr="000A1515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саморегулируемой</w:t>
      </w:r>
      <w:proofErr w:type="spellEnd"/>
      <w:r>
        <w:rPr>
          <w:rFonts w:ascii="Segoe UI" w:hAnsi="Segoe UI" w:cs="Segoe UI"/>
        </w:rPr>
        <w:t xml:space="preserve"> организации (</w:t>
      </w:r>
      <w:r w:rsidRPr="000A1515">
        <w:rPr>
          <w:rFonts w:ascii="Segoe UI" w:hAnsi="Segoe UI" w:cs="Segoe UI"/>
        </w:rPr>
        <w:t>СРО</w:t>
      </w:r>
      <w:r>
        <w:rPr>
          <w:rFonts w:ascii="Segoe UI" w:hAnsi="Segoe UI" w:cs="Segoe UI"/>
        </w:rPr>
        <w:t>)</w:t>
      </w:r>
      <w:r w:rsidRPr="000A1515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В противном случае он </w:t>
      </w:r>
      <w:r w:rsidRPr="000A1515">
        <w:rPr>
          <w:rFonts w:ascii="Segoe UI" w:hAnsi="Segoe UI" w:cs="Segoe UI"/>
        </w:rPr>
        <w:t xml:space="preserve">не имеет права проводить кадастровые работы, а подготовленные </w:t>
      </w:r>
      <w:r>
        <w:rPr>
          <w:rFonts w:ascii="Segoe UI" w:hAnsi="Segoe UI" w:cs="Segoe UI"/>
        </w:rPr>
        <w:t>им документы</w:t>
      </w:r>
      <w:r w:rsidRPr="000A1515">
        <w:rPr>
          <w:rFonts w:ascii="Segoe UI" w:hAnsi="Segoe UI" w:cs="Segoe UI"/>
        </w:rPr>
        <w:t xml:space="preserve"> не будут иметь юридической силы.</w:t>
      </w:r>
    </w:p>
    <w:p w:rsidR="00F30E0C" w:rsidRDefault="00F30E0C" w:rsidP="00F30E0C">
      <w:pPr>
        <w:jc w:val="both"/>
        <w:rPr>
          <w:rFonts w:ascii="Segoe UI" w:hAnsi="Segoe UI" w:cs="Segoe UI"/>
        </w:rPr>
      </w:pPr>
    </w:p>
    <w:p w:rsidR="00570B21" w:rsidRPr="003B2DA1" w:rsidRDefault="00F30E0C" w:rsidP="00570B21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настоящее время на территории республики в этой сфере занято порядка 600 человек. Чтобы татарстанцам было легче определиться с выбором специалиста,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продолжает ежемесячно составлять рейтинг кадастровых инженеров. Рекомендуем перед заключением договора подряда на выполнение кадастровых работ внимательно с ним ознакомиться на </w:t>
      </w:r>
      <w:r w:rsidRPr="00B467F6">
        <w:rPr>
          <w:rFonts w:ascii="Segoe UI" w:hAnsi="Segoe UI" w:cs="Segoe UI"/>
        </w:rPr>
        <w:t xml:space="preserve">официальном  сайте </w:t>
      </w:r>
      <w:proofErr w:type="spellStart"/>
      <w:r w:rsidRPr="00B467F6">
        <w:rPr>
          <w:rFonts w:ascii="Segoe UI" w:hAnsi="Segoe UI" w:cs="Segoe UI"/>
        </w:rPr>
        <w:t>Росреестра</w:t>
      </w:r>
      <w:proofErr w:type="spellEnd"/>
      <w:r w:rsidRPr="00B467F6">
        <w:rPr>
          <w:rFonts w:ascii="Segoe UI" w:hAnsi="Segoe UI" w:cs="Segoe UI"/>
        </w:rPr>
        <w:t xml:space="preserve"> Татарстана </w:t>
      </w:r>
      <w:proofErr w:type="spellStart"/>
      <w:r w:rsidRPr="003B2DA1">
        <w:rPr>
          <w:rFonts w:ascii="Segoe UI" w:hAnsi="Segoe UI" w:cs="Segoe UI"/>
          <w:b/>
        </w:rPr>
        <w:t>rosreestr.tatarstan.ru</w:t>
      </w:r>
      <w:proofErr w:type="spellEnd"/>
      <w:r w:rsidRPr="003B2DA1">
        <w:rPr>
          <w:rFonts w:ascii="Segoe UI" w:hAnsi="Segoe UI" w:cs="Segoe UI"/>
          <w:b/>
        </w:rPr>
        <w:t xml:space="preserve">  </w:t>
      </w:r>
      <w:hyperlink r:id="rId6" w:history="1">
        <w:r w:rsidRPr="003B2DA1">
          <w:rPr>
            <w:rFonts w:ascii="Segoe UI" w:hAnsi="Segoe UI" w:cs="Segoe UI"/>
            <w:b/>
          </w:rPr>
          <w:t>во вкладке «Деятельность – Выбери кадастрового инженера».</w:t>
        </w:r>
      </w:hyperlink>
      <w:r w:rsidR="00570B21" w:rsidRPr="003B2DA1">
        <w:rPr>
          <w:rFonts w:ascii="Segoe UI" w:hAnsi="Segoe UI" w:cs="Segoe UI"/>
          <w:b/>
        </w:rPr>
        <w:t xml:space="preserve">  </w:t>
      </w:r>
    </w:p>
    <w:p w:rsidR="00570B21" w:rsidRPr="00570B21" w:rsidRDefault="00570B21" w:rsidP="00570B21">
      <w:pPr>
        <w:jc w:val="both"/>
        <w:rPr>
          <w:rFonts w:ascii="Segoe UI" w:hAnsi="Segoe UI" w:cs="Segoe UI"/>
        </w:rPr>
      </w:pPr>
    </w:p>
    <w:p w:rsidR="00F30E0C" w:rsidRDefault="00CB7ACB" w:rsidP="00F30E0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Поскольку  в этом году в Татарстане продолжается активный спрос на земельные участки, 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</w:t>
      </w:r>
      <w:r w:rsidR="00AE316A">
        <w:rPr>
          <w:rFonts w:ascii="Segoe UI" w:hAnsi="Segoe UI" w:cs="Segoe UI"/>
        </w:rPr>
        <w:t>Татарстана</w:t>
      </w:r>
      <w:r>
        <w:rPr>
          <w:rFonts w:ascii="Segoe UI" w:hAnsi="Segoe UI" w:cs="Segoe UI"/>
        </w:rPr>
        <w:t xml:space="preserve"> </w:t>
      </w:r>
      <w:r w:rsidR="003B2DA1">
        <w:rPr>
          <w:rFonts w:ascii="Segoe UI" w:hAnsi="Segoe UI" w:cs="Segoe UI"/>
        </w:rPr>
        <w:t>советуют</w:t>
      </w:r>
      <w:r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>обратить особое внимание на</w:t>
      </w:r>
      <w:r w:rsidR="005272D9" w:rsidRPr="00F30E0C"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>процедуру</w:t>
      </w:r>
      <w:r w:rsidR="005272D9" w:rsidRPr="00F30E0C"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 xml:space="preserve">по </w:t>
      </w:r>
      <w:r w:rsidR="005272D9" w:rsidRPr="005272D9">
        <w:rPr>
          <w:rFonts w:ascii="Segoe UI" w:hAnsi="Segoe UI" w:cs="Segoe UI"/>
        </w:rPr>
        <w:t>у</w:t>
      </w:r>
      <w:r w:rsidR="005272D9">
        <w:rPr>
          <w:rFonts w:ascii="Segoe UI" w:hAnsi="Segoe UI" w:cs="Segoe UI"/>
        </w:rPr>
        <w:t>точнению местоположения границ  - межевание</w:t>
      </w:r>
      <w:r>
        <w:rPr>
          <w:rFonts w:ascii="Segoe UI" w:hAnsi="Segoe UI" w:cs="Segoe UI"/>
        </w:rPr>
        <w:t>.</w:t>
      </w:r>
      <w:r w:rsidR="002D00E1">
        <w:rPr>
          <w:rFonts w:ascii="Segoe UI" w:hAnsi="Segoe UI" w:cs="Segoe UI"/>
        </w:rPr>
        <w:t xml:space="preserve"> Согласно действующему законодательству, данная процедура </w:t>
      </w:r>
      <w:r w:rsidR="00F30E0C" w:rsidRPr="00F30E0C">
        <w:rPr>
          <w:rFonts w:ascii="Segoe UI" w:hAnsi="Segoe UI" w:cs="Segoe UI"/>
        </w:rPr>
        <w:t>является добровольной, однако</w:t>
      </w:r>
      <w:r w:rsidR="002D00E1">
        <w:rPr>
          <w:rFonts w:ascii="Segoe UI" w:hAnsi="Segoe UI" w:cs="Segoe UI"/>
        </w:rPr>
        <w:t xml:space="preserve"> именно ее проведение</w:t>
      </w:r>
      <w:r w:rsidR="00F30E0C" w:rsidRPr="00F30E0C">
        <w:rPr>
          <w:rFonts w:ascii="Segoe UI" w:hAnsi="Segoe UI" w:cs="Segoe UI"/>
        </w:rPr>
        <w:t xml:space="preserve"> позволяет избавить собственника земли от многих юридических пробле</w:t>
      </w:r>
      <w:r w:rsidR="002D00E1">
        <w:rPr>
          <w:rFonts w:ascii="Segoe UI" w:hAnsi="Segoe UI" w:cs="Segoe UI"/>
        </w:rPr>
        <w:t>м:</w:t>
      </w:r>
    </w:p>
    <w:p w:rsidR="00AE316A" w:rsidRDefault="00AE316A" w:rsidP="00F30E0C">
      <w:pPr>
        <w:jc w:val="both"/>
        <w:rPr>
          <w:rFonts w:ascii="Segoe UI" w:hAnsi="Segoe UI" w:cs="Segoe UI"/>
        </w:rPr>
      </w:pPr>
    </w:p>
    <w:p w:rsidR="00593C93" w:rsidRPr="002D00E1" w:rsidRDefault="00D03F04" w:rsidP="007A16F6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lastRenderedPageBreak/>
        <w:t xml:space="preserve"> </w:t>
      </w:r>
      <w:r w:rsidR="006C582C">
        <w:rPr>
          <w:rFonts w:ascii="Segoe UI" w:hAnsi="Segoe UI" w:cs="Segoe UI"/>
        </w:rPr>
        <w:t>«</w:t>
      </w:r>
      <w:r w:rsidR="006C582C" w:rsidRPr="002D00E1">
        <w:rPr>
          <w:rFonts w:ascii="Segoe UI" w:hAnsi="Segoe UI" w:cs="Segoe UI"/>
          <w:i/>
        </w:rPr>
        <w:t xml:space="preserve">Учитывая </w:t>
      </w:r>
      <w:r w:rsidR="002D00E1" w:rsidRPr="002D00E1">
        <w:rPr>
          <w:rFonts w:ascii="Segoe UI" w:hAnsi="Segoe UI" w:cs="Segoe UI"/>
          <w:i/>
        </w:rPr>
        <w:t xml:space="preserve">возросший спрос на земельные участки, </w:t>
      </w:r>
      <w:r w:rsidR="006C582C" w:rsidRPr="002D00E1">
        <w:rPr>
          <w:rFonts w:ascii="Segoe UI" w:hAnsi="Segoe UI" w:cs="Segoe UI"/>
          <w:i/>
        </w:rPr>
        <w:t>мы рекомендуем татарстанцам  при покупке земельного участка обращать внимание на нали</w:t>
      </w:r>
      <w:r w:rsidR="00593C93" w:rsidRPr="002D00E1">
        <w:rPr>
          <w:rFonts w:ascii="Segoe UI" w:hAnsi="Segoe UI" w:cs="Segoe UI"/>
          <w:i/>
        </w:rPr>
        <w:t>чие</w:t>
      </w:r>
      <w:r w:rsidR="00164BE1" w:rsidRPr="002D00E1">
        <w:rPr>
          <w:rFonts w:ascii="Segoe UI" w:hAnsi="Segoe UI" w:cs="Segoe UI"/>
          <w:i/>
        </w:rPr>
        <w:t xml:space="preserve"> установленных границ - </w:t>
      </w:r>
      <w:r w:rsidR="006C582C" w:rsidRPr="002D00E1">
        <w:rPr>
          <w:rFonts w:ascii="Segoe UI" w:hAnsi="Segoe UI" w:cs="Segoe UI"/>
          <w:i/>
        </w:rPr>
        <w:t>не только с помощью забора, но и соответствующей записи в Едином государственном реестре недвижимости</w:t>
      </w:r>
      <w:r w:rsidRPr="002D00E1">
        <w:rPr>
          <w:rFonts w:ascii="Segoe UI" w:hAnsi="Segoe UI" w:cs="Segoe UI"/>
          <w:i/>
        </w:rPr>
        <w:t>,</w:t>
      </w:r>
      <w:r w:rsidR="006C582C" w:rsidRPr="002D00E1">
        <w:rPr>
          <w:rFonts w:ascii="Segoe UI" w:hAnsi="Segoe UI" w:cs="Segoe UI"/>
          <w:i/>
        </w:rPr>
        <w:t xml:space="preserve"> -</w:t>
      </w:r>
      <w:r w:rsidRPr="002D00E1">
        <w:rPr>
          <w:rFonts w:ascii="Segoe UI" w:hAnsi="Segoe UI" w:cs="Segoe UI"/>
          <w:i/>
        </w:rPr>
        <w:t xml:space="preserve"> комментирует </w:t>
      </w:r>
      <w:r w:rsidRPr="002D00E1">
        <w:rPr>
          <w:rFonts w:ascii="Segoe UI" w:hAnsi="Segoe UI" w:cs="Segoe UI"/>
          <w:b/>
          <w:i/>
        </w:rPr>
        <w:t xml:space="preserve">заместитель руководителя Управления </w:t>
      </w:r>
      <w:proofErr w:type="spellStart"/>
      <w:r w:rsidRPr="002D00E1">
        <w:rPr>
          <w:rFonts w:ascii="Segoe UI" w:hAnsi="Segoe UI" w:cs="Segoe UI"/>
          <w:b/>
          <w:i/>
        </w:rPr>
        <w:t>Росреестра</w:t>
      </w:r>
      <w:proofErr w:type="spellEnd"/>
      <w:r w:rsidRPr="002D00E1">
        <w:rPr>
          <w:rFonts w:ascii="Segoe UI" w:hAnsi="Segoe UI" w:cs="Segoe UI"/>
          <w:b/>
          <w:i/>
        </w:rPr>
        <w:t xml:space="preserve"> по Республике Татарстан Артем Костин. –</w:t>
      </w:r>
      <w:r w:rsidRPr="002D00E1">
        <w:rPr>
          <w:rFonts w:ascii="Segoe UI" w:hAnsi="Segoe UI" w:cs="Segoe UI"/>
          <w:i/>
        </w:rPr>
        <w:t xml:space="preserve"> </w:t>
      </w:r>
      <w:r w:rsidR="006C582C" w:rsidRPr="002D00E1">
        <w:rPr>
          <w:rFonts w:ascii="Segoe UI" w:hAnsi="Segoe UI" w:cs="Segoe UI"/>
          <w:i/>
        </w:rPr>
        <w:t xml:space="preserve"> </w:t>
      </w:r>
      <w:r w:rsidRPr="002D00E1">
        <w:rPr>
          <w:rFonts w:ascii="Segoe UI" w:hAnsi="Segoe UI" w:cs="Segoe UI"/>
          <w:i/>
        </w:rPr>
        <w:t xml:space="preserve">Также мы рекомендуем не пренебрегать этой процедурой и </w:t>
      </w:r>
      <w:r w:rsidR="00593C93" w:rsidRPr="002D00E1">
        <w:rPr>
          <w:rFonts w:ascii="Segoe UI" w:hAnsi="Segoe UI" w:cs="Segoe UI"/>
          <w:i/>
        </w:rPr>
        <w:t xml:space="preserve">самих </w:t>
      </w:r>
      <w:r w:rsidRPr="002D00E1">
        <w:rPr>
          <w:rFonts w:ascii="Segoe UI" w:hAnsi="Segoe UI" w:cs="Segoe UI"/>
          <w:i/>
        </w:rPr>
        <w:t xml:space="preserve">собственников, поскольку четко установленные границы участка позволяют свести к минимуму земельные споры между соседями, а также без лишних хлопот совершать операции с недвижимостью. Ведь земельный участок с </w:t>
      </w:r>
      <w:r w:rsidR="00CC1C32" w:rsidRPr="002D00E1">
        <w:rPr>
          <w:rFonts w:ascii="Segoe UI" w:hAnsi="Segoe UI" w:cs="Segoe UI"/>
          <w:i/>
        </w:rPr>
        <w:t xml:space="preserve">уточненной площадью </w:t>
      </w:r>
      <w:r w:rsidR="002D00E1">
        <w:rPr>
          <w:rFonts w:ascii="Segoe UI" w:hAnsi="Segoe UI" w:cs="Segoe UI"/>
          <w:i/>
        </w:rPr>
        <w:t xml:space="preserve">всегда продается </w:t>
      </w:r>
      <w:r w:rsidR="00593C93" w:rsidRPr="002D00E1">
        <w:rPr>
          <w:rFonts w:ascii="Segoe UI" w:hAnsi="Segoe UI" w:cs="Segoe UI"/>
          <w:i/>
        </w:rPr>
        <w:t xml:space="preserve">выгоднее и быстрее, нежели </w:t>
      </w:r>
      <w:r w:rsidR="00CC1C32" w:rsidRPr="002D00E1">
        <w:rPr>
          <w:rFonts w:ascii="Segoe UI" w:hAnsi="Segoe UI" w:cs="Segoe UI"/>
          <w:i/>
        </w:rPr>
        <w:t xml:space="preserve">с </w:t>
      </w:r>
      <w:r w:rsidR="002D00E1" w:rsidRPr="002D00E1">
        <w:rPr>
          <w:rFonts w:ascii="Segoe UI" w:hAnsi="Segoe UI" w:cs="Segoe UI"/>
          <w:i/>
        </w:rPr>
        <w:t>задекларированно</w:t>
      </w:r>
      <w:r w:rsidR="00593C93" w:rsidRPr="002D00E1">
        <w:rPr>
          <w:rFonts w:ascii="Segoe UI" w:hAnsi="Segoe UI" w:cs="Segoe UI"/>
          <w:i/>
        </w:rPr>
        <w:t xml:space="preserve">й».  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CC1C32" w:rsidRPr="00CC1C32" w:rsidRDefault="00CC1C32" w:rsidP="007A16F6">
      <w:pPr>
        <w:jc w:val="both"/>
        <w:rPr>
          <w:rFonts w:ascii="Segoe UI" w:hAnsi="Segoe UI" w:cs="Segoe UI"/>
          <w:b/>
        </w:rPr>
      </w:pPr>
      <w:r w:rsidRPr="00CC1C32">
        <w:rPr>
          <w:rFonts w:ascii="Segoe UI" w:hAnsi="Segoe UI" w:cs="Segoe UI"/>
          <w:b/>
        </w:rPr>
        <w:t>К сведению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AE316A" w:rsidRDefault="00CC1C32" w:rsidP="007A16F6">
      <w:pPr>
        <w:jc w:val="both"/>
        <w:rPr>
          <w:rFonts w:ascii="Segoe UI" w:hAnsi="Segoe UI" w:cs="Segoe UI"/>
        </w:rPr>
      </w:pPr>
      <w:r w:rsidRPr="00CC1C32">
        <w:rPr>
          <w:rFonts w:ascii="Segoe UI" w:hAnsi="Segoe UI" w:cs="Segoe UI"/>
        </w:rPr>
        <w:t>Земельные участки с уточненной площадью</w:t>
      </w:r>
      <w:r>
        <w:rPr>
          <w:rFonts w:ascii="Segoe UI" w:hAnsi="Segoe UI" w:cs="Segoe UI"/>
        </w:rPr>
        <w:t xml:space="preserve"> </w:t>
      </w:r>
      <w:r w:rsidRPr="00CC1C32">
        <w:rPr>
          <w:rFonts w:ascii="Segoe UI" w:hAnsi="Segoe UI" w:cs="Segoe UI"/>
        </w:rPr>
        <w:t>- это земельные участки, описание местоположения границ которых установлены в соответствии с действующим законодательством</w:t>
      </w:r>
      <w:r>
        <w:rPr>
          <w:rFonts w:ascii="Segoe UI" w:hAnsi="Segoe UI" w:cs="Segoe UI"/>
        </w:rPr>
        <w:t xml:space="preserve">. 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EB79AC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hAnsi="Segoe UI" w:cs="Segoe UI"/>
          <w:sz w:val="20"/>
          <w:szCs w:val="20"/>
        </w:rPr>
        <w:t xml:space="preserve"> Галина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EB79AC" w:rsidRDefault="002866C2" w:rsidP="00EB79AC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EB79AC" w:rsidRPr="003B11C4">
          <w:t>https://rosreestr.tatarstan.ru</w:t>
        </w:r>
      </w:hyperlink>
    </w:p>
    <w:p w:rsidR="008E4274" w:rsidRPr="00652788" w:rsidRDefault="00EB79AC" w:rsidP="008E4274">
      <w:pPr>
        <w:jc w:val="right"/>
        <w:rPr>
          <w:color w:val="92D050"/>
          <w:sz w:val="28"/>
          <w:szCs w:val="28"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sectPr w:rsidR="008E4274" w:rsidRPr="00652788" w:rsidSect="008B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792C"/>
    <w:rsid w:val="000422CF"/>
    <w:rsid w:val="00052D23"/>
    <w:rsid w:val="00072D0C"/>
    <w:rsid w:val="00082A4D"/>
    <w:rsid w:val="000844E3"/>
    <w:rsid w:val="000A09E8"/>
    <w:rsid w:val="000A1515"/>
    <w:rsid w:val="000B354D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50F6B"/>
    <w:rsid w:val="00152C51"/>
    <w:rsid w:val="00155676"/>
    <w:rsid w:val="00161E04"/>
    <w:rsid w:val="00164BE1"/>
    <w:rsid w:val="00173F7B"/>
    <w:rsid w:val="00177338"/>
    <w:rsid w:val="001828C6"/>
    <w:rsid w:val="00187828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883"/>
    <w:rsid w:val="001F3B1E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657D1"/>
    <w:rsid w:val="00266190"/>
    <w:rsid w:val="00283E2C"/>
    <w:rsid w:val="002866C2"/>
    <w:rsid w:val="002A10B9"/>
    <w:rsid w:val="002A4E37"/>
    <w:rsid w:val="002D00E1"/>
    <w:rsid w:val="0030599C"/>
    <w:rsid w:val="003210B4"/>
    <w:rsid w:val="00326433"/>
    <w:rsid w:val="00343C2C"/>
    <w:rsid w:val="0034531F"/>
    <w:rsid w:val="00346F50"/>
    <w:rsid w:val="00362C5F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2DA1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442B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1592D"/>
    <w:rsid w:val="005272D9"/>
    <w:rsid w:val="00536475"/>
    <w:rsid w:val="005366E9"/>
    <w:rsid w:val="00560AAE"/>
    <w:rsid w:val="00561AB0"/>
    <w:rsid w:val="00561C73"/>
    <w:rsid w:val="00570B21"/>
    <w:rsid w:val="00586455"/>
    <w:rsid w:val="00590446"/>
    <w:rsid w:val="00592935"/>
    <w:rsid w:val="00593A1B"/>
    <w:rsid w:val="00593C93"/>
    <w:rsid w:val="005A6685"/>
    <w:rsid w:val="005A6864"/>
    <w:rsid w:val="005B3FD3"/>
    <w:rsid w:val="005C4D8A"/>
    <w:rsid w:val="005E2EA3"/>
    <w:rsid w:val="005E4DD1"/>
    <w:rsid w:val="005F1B02"/>
    <w:rsid w:val="005F7626"/>
    <w:rsid w:val="0060010C"/>
    <w:rsid w:val="00602783"/>
    <w:rsid w:val="00605F3C"/>
    <w:rsid w:val="00610025"/>
    <w:rsid w:val="00612F83"/>
    <w:rsid w:val="006158AB"/>
    <w:rsid w:val="0061731C"/>
    <w:rsid w:val="00621B40"/>
    <w:rsid w:val="006231E2"/>
    <w:rsid w:val="00630442"/>
    <w:rsid w:val="00631ADB"/>
    <w:rsid w:val="0063317A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C582C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A16F6"/>
    <w:rsid w:val="007A348B"/>
    <w:rsid w:val="007B4E80"/>
    <w:rsid w:val="007D087D"/>
    <w:rsid w:val="007E72A5"/>
    <w:rsid w:val="00801095"/>
    <w:rsid w:val="00827292"/>
    <w:rsid w:val="00841E3C"/>
    <w:rsid w:val="0087738F"/>
    <w:rsid w:val="0088487D"/>
    <w:rsid w:val="00892374"/>
    <w:rsid w:val="00897D7E"/>
    <w:rsid w:val="008B1428"/>
    <w:rsid w:val="008B3460"/>
    <w:rsid w:val="008B6B5D"/>
    <w:rsid w:val="008C649E"/>
    <w:rsid w:val="008E28AE"/>
    <w:rsid w:val="008E4274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5497"/>
    <w:rsid w:val="009B68CB"/>
    <w:rsid w:val="009D7561"/>
    <w:rsid w:val="009F41BB"/>
    <w:rsid w:val="009F6B89"/>
    <w:rsid w:val="00A10ED2"/>
    <w:rsid w:val="00A14B5C"/>
    <w:rsid w:val="00A15637"/>
    <w:rsid w:val="00A20B1C"/>
    <w:rsid w:val="00A24CB4"/>
    <w:rsid w:val="00A40A7F"/>
    <w:rsid w:val="00A462AB"/>
    <w:rsid w:val="00A5059A"/>
    <w:rsid w:val="00A52B53"/>
    <w:rsid w:val="00A63131"/>
    <w:rsid w:val="00A73325"/>
    <w:rsid w:val="00A863A6"/>
    <w:rsid w:val="00A906EA"/>
    <w:rsid w:val="00AA5C0C"/>
    <w:rsid w:val="00AB0295"/>
    <w:rsid w:val="00AD60BF"/>
    <w:rsid w:val="00AE0809"/>
    <w:rsid w:val="00AE316A"/>
    <w:rsid w:val="00AF2673"/>
    <w:rsid w:val="00AF4937"/>
    <w:rsid w:val="00B0150B"/>
    <w:rsid w:val="00B22F4C"/>
    <w:rsid w:val="00B251AD"/>
    <w:rsid w:val="00B467F6"/>
    <w:rsid w:val="00B557BB"/>
    <w:rsid w:val="00B62831"/>
    <w:rsid w:val="00B63ED5"/>
    <w:rsid w:val="00B7347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16F3F"/>
    <w:rsid w:val="00C17492"/>
    <w:rsid w:val="00C17D63"/>
    <w:rsid w:val="00C270F4"/>
    <w:rsid w:val="00C36979"/>
    <w:rsid w:val="00C3713D"/>
    <w:rsid w:val="00C5444E"/>
    <w:rsid w:val="00C620B4"/>
    <w:rsid w:val="00C72418"/>
    <w:rsid w:val="00C725D7"/>
    <w:rsid w:val="00C86109"/>
    <w:rsid w:val="00C906C5"/>
    <w:rsid w:val="00C91C55"/>
    <w:rsid w:val="00CB406D"/>
    <w:rsid w:val="00CB7ACB"/>
    <w:rsid w:val="00CC128D"/>
    <w:rsid w:val="00CC1C32"/>
    <w:rsid w:val="00CC2B7D"/>
    <w:rsid w:val="00CC6E46"/>
    <w:rsid w:val="00CD1A4C"/>
    <w:rsid w:val="00CE1419"/>
    <w:rsid w:val="00CE4F5F"/>
    <w:rsid w:val="00CF3C98"/>
    <w:rsid w:val="00CF4AF2"/>
    <w:rsid w:val="00D03F04"/>
    <w:rsid w:val="00D05905"/>
    <w:rsid w:val="00D105CD"/>
    <w:rsid w:val="00D11A7A"/>
    <w:rsid w:val="00D22F51"/>
    <w:rsid w:val="00D373C8"/>
    <w:rsid w:val="00D37B1D"/>
    <w:rsid w:val="00D6136E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B35A7"/>
    <w:rsid w:val="00DC4B6D"/>
    <w:rsid w:val="00DD7756"/>
    <w:rsid w:val="00DE4F0D"/>
    <w:rsid w:val="00E03EEB"/>
    <w:rsid w:val="00E0557B"/>
    <w:rsid w:val="00E23BDB"/>
    <w:rsid w:val="00E26745"/>
    <w:rsid w:val="00E343D8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F05669"/>
    <w:rsid w:val="00F0567B"/>
    <w:rsid w:val="00F060B0"/>
    <w:rsid w:val="00F14C47"/>
    <w:rsid w:val="00F21A32"/>
    <w:rsid w:val="00F2680E"/>
    <w:rsid w:val="00F30450"/>
    <w:rsid w:val="00F30E0C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reyting-kadastrovih-inzhenerov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99E5-595A-4D50-9BDC-C4182C1A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3290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RadyginaOV</cp:lastModifiedBy>
  <cp:revision>17</cp:revision>
  <cp:lastPrinted>2022-04-18T07:38:00Z</cp:lastPrinted>
  <dcterms:created xsi:type="dcterms:W3CDTF">2022-04-12T12:02:00Z</dcterms:created>
  <dcterms:modified xsi:type="dcterms:W3CDTF">2022-04-18T13:49:00Z</dcterms:modified>
</cp:coreProperties>
</file>