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F2" w:rsidRDefault="009848D7">
      <w:pPr>
        <w:rPr>
          <w:sz w:val="28"/>
        </w:rPr>
      </w:pPr>
      <w:r>
        <w:rPr>
          <w:rFonts w:ascii="Segoe UI" w:hAnsi="Segoe U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-190500</wp:posOffset>
            </wp:positionV>
            <wp:extent cx="1647825" cy="676275"/>
            <wp:effectExtent l="0" t="0" r="0" b="0"/>
            <wp:wrapTight wrapText="bothSides" distL="114300" distR="114300">
              <wp:wrapPolygon edited="0">
                <wp:start x="-250" y="0"/>
                <wp:lineTo x="-250" y="21296"/>
                <wp:lineTo x="21725" y="21296"/>
                <wp:lineTo x="21725" y="0"/>
                <wp:lineTo x="-25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3F2" w:rsidRDefault="009848D7">
      <w:pPr>
        <w:ind w:left="7788"/>
        <w:jc w:val="right"/>
        <w:rPr>
          <w:rFonts w:ascii="Segoe UI" w:hAnsi="Segoe UI"/>
          <w:b/>
        </w:rPr>
      </w:pPr>
      <w:r>
        <w:rPr>
          <w:rFonts w:ascii="Segoe UI" w:hAnsi="Segoe UI"/>
          <w:b/>
        </w:rPr>
        <w:t>01.03.2022</w:t>
      </w:r>
    </w:p>
    <w:p w:rsidR="005923F2" w:rsidRDefault="009848D7">
      <w:pPr>
        <w:jc w:val="right"/>
        <w:rPr>
          <w:rFonts w:ascii="Segoe UI" w:hAnsi="Segoe UI"/>
          <w:b/>
        </w:rPr>
      </w:pPr>
      <w:r>
        <w:rPr>
          <w:rFonts w:ascii="Segoe UI Light" w:hAnsi="Segoe UI Light"/>
          <w:b/>
          <w:sz w:val="32"/>
        </w:rPr>
        <w:t>Новость</w:t>
      </w:r>
    </w:p>
    <w:p w:rsidR="005923F2" w:rsidRDefault="005923F2">
      <w:pPr>
        <w:spacing w:before="120"/>
        <w:jc w:val="both"/>
        <w:rPr>
          <w:rFonts w:ascii="Segoe UI" w:hAnsi="Segoe UI"/>
        </w:rPr>
      </w:pPr>
    </w:p>
    <w:p w:rsidR="005923F2" w:rsidRDefault="009848D7">
      <w:pPr>
        <w:spacing w:before="120"/>
        <w:jc w:val="center"/>
        <w:rPr>
          <w:rFonts w:ascii="Segoe UI" w:hAnsi="Segoe UI"/>
          <w:b/>
          <w:sz w:val="28"/>
        </w:rPr>
      </w:pPr>
      <w:r>
        <w:rPr>
          <w:rFonts w:ascii="Segoe UI" w:hAnsi="Segoe UI"/>
          <w:b/>
          <w:sz w:val="28"/>
        </w:rPr>
        <w:t xml:space="preserve">По договору долевого участия можно теперь </w:t>
      </w:r>
      <w:r w:rsidR="00B23A37">
        <w:rPr>
          <w:rFonts w:ascii="Segoe UI" w:hAnsi="Segoe UI"/>
          <w:b/>
          <w:sz w:val="28"/>
        </w:rPr>
        <w:t>приобрести</w:t>
      </w:r>
      <w:r>
        <w:rPr>
          <w:rFonts w:ascii="Segoe UI" w:hAnsi="Segoe UI"/>
          <w:b/>
          <w:sz w:val="28"/>
        </w:rPr>
        <w:t xml:space="preserve"> не толь</w:t>
      </w:r>
      <w:r w:rsidR="00B23A37">
        <w:rPr>
          <w:rFonts w:ascii="Segoe UI" w:hAnsi="Segoe UI"/>
          <w:b/>
          <w:sz w:val="28"/>
        </w:rPr>
        <w:t>ко квартиру, но и</w:t>
      </w:r>
      <w:r>
        <w:rPr>
          <w:rFonts w:ascii="Segoe UI" w:hAnsi="Segoe UI"/>
          <w:b/>
          <w:sz w:val="28"/>
        </w:rPr>
        <w:t xml:space="preserve"> дом</w:t>
      </w:r>
    </w:p>
    <w:p w:rsidR="005923F2" w:rsidRDefault="009848D7">
      <w:pPr>
        <w:spacing w:before="120"/>
        <w:jc w:val="both"/>
        <w:rPr>
          <w:rFonts w:ascii="Segoe UI" w:hAnsi="Segoe UI"/>
          <w:i/>
        </w:rPr>
      </w:pPr>
      <w:r>
        <w:rPr>
          <w:rFonts w:ascii="Segoe UI" w:hAnsi="Segoe UI"/>
          <w:i/>
        </w:rPr>
        <w:t xml:space="preserve">Об этом сообщает </w:t>
      </w:r>
      <w:proofErr w:type="spellStart"/>
      <w:r>
        <w:rPr>
          <w:rFonts w:ascii="Segoe UI" w:hAnsi="Segoe UI"/>
          <w:i/>
        </w:rPr>
        <w:t>Росреестр</w:t>
      </w:r>
      <w:proofErr w:type="spellEnd"/>
      <w:r>
        <w:rPr>
          <w:rFonts w:ascii="Segoe UI" w:hAnsi="Segoe UI"/>
          <w:i/>
        </w:rPr>
        <w:t xml:space="preserve"> Татарстана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С 1 марта 2022 года вступили в силу основные положения Федерального закона, которые устанавливают порядок проведения государственной регистрации индивидуальных жилых домов в границах малоэтажных жилищных комплексов по договорам участия в долевом строительстве. Таким образом, возможность использования механизма проектного финансирования распространяется и на строительство индивидуальных жилищных домов (ИЖС). 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Изменения также регулируют порядок передачи застройщиком объекта долевого строительства и общего имущества, особенности государственной регистрации права </w:t>
      </w:r>
      <w:proofErr w:type="gramStart"/>
      <w:r>
        <w:rPr>
          <w:rFonts w:ascii="Segoe UI" w:hAnsi="Segoe UI"/>
        </w:rPr>
        <w:t>на</w:t>
      </w:r>
      <w:proofErr w:type="gramEnd"/>
      <w:r>
        <w:rPr>
          <w:rFonts w:ascii="Segoe UI" w:hAnsi="Segoe UI"/>
        </w:rPr>
        <w:t xml:space="preserve"> земельный участок и расположенный на нем объект индивидуального жилищного строительства. 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Как пояснила </w:t>
      </w:r>
      <w:r>
        <w:rPr>
          <w:rFonts w:ascii="Segoe UI" w:hAnsi="Segoe UI"/>
          <w:b/>
        </w:rPr>
        <w:t xml:space="preserve">заместитель руководителя Управления </w:t>
      </w:r>
      <w:proofErr w:type="spellStart"/>
      <w:r>
        <w:rPr>
          <w:rFonts w:ascii="Segoe UI" w:hAnsi="Segoe UI"/>
          <w:b/>
        </w:rPr>
        <w:t>Росреестра</w:t>
      </w:r>
      <w:proofErr w:type="spellEnd"/>
      <w:r>
        <w:rPr>
          <w:rFonts w:ascii="Segoe UI" w:hAnsi="Segoe UI"/>
          <w:b/>
        </w:rPr>
        <w:t xml:space="preserve"> по Республике Татарстан Лилия </w:t>
      </w:r>
      <w:proofErr w:type="spellStart"/>
      <w:r>
        <w:rPr>
          <w:rFonts w:ascii="Segoe UI" w:hAnsi="Segoe UI"/>
          <w:b/>
        </w:rPr>
        <w:t>Бурганова</w:t>
      </w:r>
      <w:proofErr w:type="spellEnd"/>
      <w:r>
        <w:rPr>
          <w:rFonts w:ascii="Segoe UI" w:hAnsi="Segoe UI"/>
          <w:b/>
        </w:rPr>
        <w:t xml:space="preserve">, </w:t>
      </w:r>
      <w:r>
        <w:rPr>
          <w:rFonts w:ascii="Segoe UI" w:hAnsi="Segoe UI"/>
        </w:rPr>
        <w:t xml:space="preserve">теперь к застройщикам </w:t>
      </w:r>
      <w:proofErr w:type="spellStart"/>
      <w:r>
        <w:rPr>
          <w:rFonts w:ascii="Segoe UI" w:hAnsi="Segoe UI"/>
        </w:rPr>
        <w:t>коттеджных</w:t>
      </w:r>
      <w:proofErr w:type="spellEnd"/>
      <w:r>
        <w:rPr>
          <w:rFonts w:ascii="Segoe UI" w:hAnsi="Segoe UI"/>
        </w:rPr>
        <w:t xml:space="preserve"> поселков домов будут применяться нормы закона о долевом строительстве. Соответственно, они могут вести строительство с  использованием механизма </w:t>
      </w:r>
      <w:proofErr w:type="spellStart"/>
      <w:r>
        <w:rPr>
          <w:rFonts w:ascii="Segoe UI" w:hAnsi="Segoe UI"/>
        </w:rPr>
        <w:t>эскроу-счетов</w:t>
      </w:r>
      <w:proofErr w:type="spellEnd"/>
      <w:r>
        <w:rPr>
          <w:rFonts w:ascii="Segoe UI" w:hAnsi="Segoe UI"/>
        </w:rPr>
        <w:t>.</w:t>
      </w:r>
    </w:p>
    <w:p w:rsidR="005923F2" w:rsidRDefault="009848D7">
      <w:pPr>
        <w:spacing w:before="120"/>
        <w:jc w:val="both"/>
        <w:rPr>
          <w:rFonts w:ascii="Segoe UI" w:hAnsi="Segoe UI"/>
          <w:b/>
        </w:rPr>
      </w:pPr>
      <w:r>
        <w:rPr>
          <w:rFonts w:ascii="Segoe UI" w:hAnsi="Segoe UI"/>
          <w:i/>
        </w:rPr>
        <w:t xml:space="preserve">«По нашему мнению данные нововведения наши граждане, которые хотят жить в своем частном доме, обязательно оценят. Ведь до сегодняшнего дня сфера долевого строительства распространялась только на многоквартирные дома. Также это послужит дополнительным стимулом для еще большего развития в Татарстане комплексного малоэтажного строительства», </w:t>
      </w:r>
      <w:r>
        <w:rPr>
          <w:rFonts w:ascii="Segoe UI" w:hAnsi="Segoe UI"/>
        </w:rPr>
        <w:t xml:space="preserve">- считает </w:t>
      </w:r>
      <w:r>
        <w:rPr>
          <w:rFonts w:ascii="Segoe UI" w:hAnsi="Segoe UI"/>
          <w:b/>
        </w:rPr>
        <w:t xml:space="preserve">Лилия </w:t>
      </w:r>
      <w:proofErr w:type="spellStart"/>
      <w:r>
        <w:rPr>
          <w:rFonts w:ascii="Segoe UI" w:hAnsi="Segoe UI"/>
          <w:b/>
        </w:rPr>
        <w:t>Бурганова</w:t>
      </w:r>
      <w:proofErr w:type="spellEnd"/>
      <w:r>
        <w:rPr>
          <w:rFonts w:ascii="Segoe UI" w:hAnsi="Segoe UI"/>
          <w:b/>
        </w:rPr>
        <w:t xml:space="preserve">. </w:t>
      </w:r>
    </w:p>
    <w:p w:rsidR="005923F2" w:rsidRDefault="009848D7">
      <w:pPr>
        <w:spacing w:before="120"/>
        <w:jc w:val="both"/>
        <w:rPr>
          <w:rFonts w:ascii="Segoe UI" w:hAnsi="Segoe UI"/>
          <w:b/>
        </w:rPr>
      </w:pPr>
      <w:r>
        <w:rPr>
          <w:rFonts w:ascii="Segoe UI" w:hAnsi="Segoe UI"/>
          <w:b/>
        </w:rPr>
        <w:t>К сведению</w:t>
      </w:r>
    </w:p>
    <w:p w:rsidR="005923F2" w:rsidRPr="00326C76" w:rsidRDefault="00326C76" w:rsidP="00326C76">
      <w:pPr>
        <w:spacing w:before="120"/>
        <w:jc w:val="both"/>
        <w:rPr>
          <w:rFonts w:ascii="Segoe UI" w:hAnsi="Segoe UI"/>
          <w:b/>
        </w:rPr>
      </w:pPr>
      <w:r w:rsidRPr="00326C76">
        <w:rPr>
          <w:rFonts w:ascii="Segoe UI" w:hAnsi="Segoe UI"/>
          <w:b/>
        </w:rPr>
        <w:t xml:space="preserve">По данным </w:t>
      </w:r>
      <w:proofErr w:type="spellStart"/>
      <w:r w:rsidRPr="00326C76">
        <w:rPr>
          <w:rFonts w:ascii="Segoe UI" w:hAnsi="Segoe UI"/>
          <w:b/>
        </w:rPr>
        <w:t>Росреестра</w:t>
      </w:r>
      <w:proofErr w:type="spellEnd"/>
      <w:r w:rsidRPr="00326C76">
        <w:rPr>
          <w:rFonts w:ascii="Segoe UI" w:hAnsi="Segoe UI"/>
          <w:b/>
        </w:rPr>
        <w:t xml:space="preserve"> Татарстана, в 2021-м году зарегистрировано около 18 тысяч жилых домов общей площадью более 2 </w:t>
      </w:r>
      <w:proofErr w:type="spellStart"/>
      <w:proofErr w:type="gramStart"/>
      <w:r w:rsidRPr="00326C76">
        <w:rPr>
          <w:rFonts w:ascii="Segoe UI" w:hAnsi="Segoe UI"/>
          <w:b/>
        </w:rPr>
        <w:t>млн</w:t>
      </w:r>
      <w:proofErr w:type="spellEnd"/>
      <w:proofErr w:type="gramEnd"/>
      <w:r w:rsidRPr="00326C76">
        <w:rPr>
          <w:rFonts w:ascii="Segoe UI" w:hAnsi="Segoe UI"/>
          <w:b/>
        </w:rPr>
        <w:t xml:space="preserve"> кв.м. 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>В соответствии с новым Законом, теперь застройщики проектов ИЖС обязаны раскрывать следующую информацию в ЕИСЖС: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об утверждении проекта планировки территории и проекта межевания территории и о внесении в ЕГРН сведений об утвержденном проекте межевания территории; 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lastRenderedPageBreak/>
        <w:t xml:space="preserve">- о разрешении на строительство; </w:t>
      </w:r>
    </w:p>
    <w:p w:rsidR="009848D7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о проектной декларации; 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>- о плане создаваемого объекта индивидуального жилищного строительства с указанием его местоположения, планируемой площади и каждого из помещений в таком объекте;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о плане земельного участка, на котором осуществляется строительство объекта индивидуального жилищного строительства, с указанием его площади, условного номера и расположения. </w:t>
      </w:r>
    </w:p>
    <w:p w:rsidR="005923F2" w:rsidRDefault="009848D7">
      <w:pPr>
        <w:spacing w:before="120"/>
        <w:jc w:val="both"/>
        <w:rPr>
          <w:rFonts w:ascii="Segoe UI" w:hAnsi="Segoe UI"/>
          <w:b/>
          <w:i/>
        </w:rPr>
      </w:pPr>
      <w:proofErr w:type="spellStart"/>
      <w:r>
        <w:rPr>
          <w:rFonts w:ascii="Segoe UI" w:hAnsi="Segoe UI"/>
          <w:b/>
          <w:i/>
        </w:rPr>
        <w:t>Справочно</w:t>
      </w:r>
      <w:proofErr w:type="spellEnd"/>
    </w:p>
    <w:p w:rsidR="005923F2" w:rsidRDefault="009848D7">
      <w:pPr>
        <w:spacing w:before="120"/>
        <w:jc w:val="both"/>
        <w:rPr>
          <w:rFonts w:ascii="Segoe UI" w:hAnsi="Segoe UI"/>
          <w:i/>
        </w:rPr>
      </w:pPr>
      <w:r>
        <w:rPr>
          <w:rFonts w:ascii="Segoe UI" w:hAnsi="Segoe UI"/>
          <w:i/>
        </w:rPr>
        <w:t>Федеральный закон от 30.12.2021 №476-ФЗ «О внесении изменений в отдельные законодательные акты РФ».</w:t>
      </w:r>
    </w:p>
    <w:p w:rsidR="005923F2" w:rsidRDefault="005923F2">
      <w:pPr>
        <w:spacing w:before="120"/>
        <w:jc w:val="both"/>
        <w:rPr>
          <w:rFonts w:ascii="Segoe UI" w:hAnsi="Segoe UI"/>
        </w:rPr>
      </w:pPr>
    </w:p>
    <w:p w:rsidR="005923F2" w:rsidRDefault="005923F2">
      <w:pPr>
        <w:spacing w:before="120"/>
        <w:jc w:val="both"/>
        <w:rPr>
          <w:rFonts w:ascii="Segoe UI" w:hAnsi="Segoe UI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  <w:bookmarkStart w:id="0" w:name="_GoBack"/>
      <w:bookmarkEnd w:id="0"/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9848D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Контакты для СМИ</w:t>
      </w:r>
    </w:p>
    <w:p w:rsidR="005923F2" w:rsidRDefault="009848D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5923F2" w:rsidRDefault="009848D7">
      <w:pPr>
        <w:tabs>
          <w:tab w:val="left" w:pos="10246"/>
        </w:tabs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5923F2" w:rsidRDefault="009848D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www.instagram.com/rosreestr_tatarstana</w:t>
      </w:r>
    </w:p>
    <w:p w:rsidR="005923F2" w:rsidRDefault="00C83C15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9848D7">
          <w:rPr>
            <w:rStyle w:val="17"/>
            <w:rFonts w:ascii="Segoe UI" w:hAnsi="Segoe UI"/>
          </w:rPr>
          <w:t>https://rosreestr.tatarstan.ru</w:t>
        </w:r>
      </w:hyperlink>
    </w:p>
    <w:sectPr w:rsidR="005923F2" w:rsidSect="005923F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3F2"/>
    <w:rsid w:val="00326C76"/>
    <w:rsid w:val="005923F2"/>
    <w:rsid w:val="009848D7"/>
    <w:rsid w:val="00B23A37"/>
    <w:rsid w:val="00C8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923F2"/>
  </w:style>
  <w:style w:type="paragraph" w:styleId="10">
    <w:name w:val="heading 1"/>
    <w:next w:val="a"/>
    <w:link w:val="11"/>
    <w:uiPriority w:val="9"/>
    <w:qFormat/>
    <w:rsid w:val="005923F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923F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923F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923F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923F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923F2"/>
  </w:style>
  <w:style w:type="paragraph" w:styleId="21">
    <w:name w:val="toc 2"/>
    <w:next w:val="a"/>
    <w:link w:val="22"/>
    <w:uiPriority w:val="39"/>
    <w:rsid w:val="005923F2"/>
    <w:pPr>
      <w:ind w:left="200"/>
    </w:pPr>
  </w:style>
  <w:style w:type="character" w:customStyle="1" w:styleId="22">
    <w:name w:val="Оглавление 2 Знак"/>
    <w:link w:val="21"/>
    <w:rsid w:val="005923F2"/>
  </w:style>
  <w:style w:type="paragraph" w:styleId="41">
    <w:name w:val="toc 4"/>
    <w:next w:val="a"/>
    <w:link w:val="42"/>
    <w:uiPriority w:val="39"/>
    <w:rsid w:val="005923F2"/>
    <w:pPr>
      <w:ind w:left="600"/>
    </w:pPr>
  </w:style>
  <w:style w:type="character" w:customStyle="1" w:styleId="42">
    <w:name w:val="Оглавление 4 Знак"/>
    <w:link w:val="41"/>
    <w:rsid w:val="005923F2"/>
  </w:style>
  <w:style w:type="paragraph" w:styleId="6">
    <w:name w:val="toc 6"/>
    <w:next w:val="a"/>
    <w:link w:val="60"/>
    <w:uiPriority w:val="39"/>
    <w:rsid w:val="005923F2"/>
    <w:pPr>
      <w:ind w:left="1000"/>
    </w:pPr>
  </w:style>
  <w:style w:type="character" w:customStyle="1" w:styleId="60">
    <w:name w:val="Оглавление 6 Знак"/>
    <w:link w:val="6"/>
    <w:rsid w:val="005923F2"/>
  </w:style>
  <w:style w:type="paragraph" w:styleId="7">
    <w:name w:val="toc 7"/>
    <w:next w:val="a"/>
    <w:link w:val="70"/>
    <w:uiPriority w:val="39"/>
    <w:rsid w:val="005923F2"/>
    <w:pPr>
      <w:ind w:left="1200"/>
    </w:pPr>
  </w:style>
  <w:style w:type="character" w:customStyle="1" w:styleId="70">
    <w:name w:val="Оглавление 7 Знак"/>
    <w:link w:val="7"/>
    <w:rsid w:val="005923F2"/>
  </w:style>
  <w:style w:type="character" w:customStyle="1" w:styleId="30">
    <w:name w:val="Заголовок 3 Знак"/>
    <w:link w:val="3"/>
    <w:rsid w:val="005923F2"/>
    <w:rPr>
      <w:rFonts w:ascii="XO Thames" w:hAnsi="XO Thames"/>
      <w:b/>
      <w:i/>
      <w:color w:val="000000"/>
    </w:rPr>
  </w:style>
  <w:style w:type="paragraph" w:customStyle="1" w:styleId="s10">
    <w:name w:val="s_10"/>
    <w:basedOn w:val="12"/>
    <w:link w:val="s100"/>
    <w:rsid w:val="005923F2"/>
  </w:style>
  <w:style w:type="character" w:customStyle="1" w:styleId="s100">
    <w:name w:val="s_10"/>
    <w:basedOn w:val="a0"/>
    <w:link w:val="s10"/>
    <w:rsid w:val="005923F2"/>
  </w:style>
  <w:style w:type="paragraph" w:styleId="31">
    <w:name w:val="toc 3"/>
    <w:next w:val="a"/>
    <w:link w:val="32"/>
    <w:uiPriority w:val="39"/>
    <w:rsid w:val="005923F2"/>
    <w:pPr>
      <w:ind w:left="400"/>
    </w:pPr>
  </w:style>
  <w:style w:type="character" w:customStyle="1" w:styleId="32">
    <w:name w:val="Оглавление 3 Знак"/>
    <w:link w:val="31"/>
    <w:rsid w:val="005923F2"/>
  </w:style>
  <w:style w:type="paragraph" w:styleId="a3">
    <w:name w:val="No Spacing"/>
    <w:link w:val="a4"/>
    <w:rsid w:val="005923F2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5923F2"/>
    <w:rPr>
      <w:rFonts w:ascii="Calibri" w:hAnsi="Calibri"/>
    </w:rPr>
  </w:style>
  <w:style w:type="character" w:customStyle="1" w:styleId="50">
    <w:name w:val="Заголовок 5 Знак"/>
    <w:link w:val="5"/>
    <w:rsid w:val="005923F2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link w:val="10"/>
    <w:rsid w:val="005923F2"/>
  </w:style>
  <w:style w:type="character" w:customStyle="1" w:styleId="11">
    <w:name w:val="Заголовок 1 Знак"/>
    <w:link w:val="10"/>
    <w:rsid w:val="005923F2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5923F2"/>
    <w:rPr>
      <w:color w:val="0000FF"/>
      <w:u w:val="single"/>
    </w:rPr>
  </w:style>
  <w:style w:type="character" w:styleId="a5">
    <w:name w:val="Hyperlink"/>
    <w:link w:val="13"/>
    <w:rsid w:val="005923F2"/>
    <w:rPr>
      <w:color w:val="0000FF"/>
      <w:u w:val="single"/>
    </w:rPr>
  </w:style>
  <w:style w:type="paragraph" w:customStyle="1" w:styleId="Footnote">
    <w:name w:val="Footnote"/>
    <w:link w:val="Footnote0"/>
    <w:rsid w:val="005923F2"/>
    <w:rPr>
      <w:rFonts w:ascii="XO Thames" w:hAnsi="XO Thames"/>
    </w:rPr>
  </w:style>
  <w:style w:type="character" w:customStyle="1" w:styleId="Footnote0">
    <w:name w:val="Footnote"/>
    <w:link w:val="Footnote"/>
    <w:rsid w:val="005923F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923F2"/>
    <w:rPr>
      <w:rFonts w:ascii="XO Thames" w:hAnsi="XO Thames"/>
      <w:b/>
    </w:rPr>
  </w:style>
  <w:style w:type="character" w:customStyle="1" w:styleId="15">
    <w:name w:val="Оглавление 1 Знак"/>
    <w:link w:val="14"/>
    <w:rsid w:val="005923F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923F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923F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923F2"/>
    <w:pPr>
      <w:ind w:left="1600"/>
    </w:pPr>
  </w:style>
  <w:style w:type="character" w:customStyle="1" w:styleId="90">
    <w:name w:val="Оглавление 9 Знак"/>
    <w:link w:val="9"/>
    <w:rsid w:val="005923F2"/>
  </w:style>
  <w:style w:type="paragraph" w:styleId="8">
    <w:name w:val="toc 8"/>
    <w:next w:val="a"/>
    <w:link w:val="80"/>
    <w:uiPriority w:val="39"/>
    <w:rsid w:val="005923F2"/>
    <w:pPr>
      <w:ind w:left="1400"/>
    </w:pPr>
  </w:style>
  <w:style w:type="character" w:customStyle="1" w:styleId="80">
    <w:name w:val="Оглавление 8 Знак"/>
    <w:link w:val="8"/>
    <w:rsid w:val="005923F2"/>
  </w:style>
  <w:style w:type="paragraph" w:customStyle="1" w:styleId="16">
    <w:name w:val="Гиперссылка1"/>
    <w:link w:val="17"/>
    <w:rsid w:val="005923F2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7">
    <w:name w:val="Гиперссылка1"/>
    <w:link w:val="16"/>
    <w:rsid w:val="005923F2"/>
    <w:rPr>
      <w:rFonts w:ascii="Times New Roman" w:hAnsi="Times New Roman"/>
      <w:color w:val="0000FF"/>
      <w:sz w:val="20"/>
      <w:u w:val="single"/>
    </w:rPr>
  </w:style>
  <w:style w:type="paragraph" w:styleId="51">
    <w:name w:val="toc 5"/>
    <w:next w:val="a"/>
    <w:link w:val="52"/>
    <w:uiPriority w:val="39"/>
    <w:rsid w:val="005923F2"/>
    <w:pPr>
      <w:ind w:left="800"/>
    </w:pPr>
  </w:style>
  <w:style w:type="character" w:customStyle="1" w:styleId="52">
    <w:name w:val="Оглавление 5 Знак"/>
    <w:link w:val="51"/>
    <w:rsid w:val="005923F2"/>
  </w:style>
  <w:style w:type="paragraph" w:styleId="a6">
    <w:name w:val="Subtitle"/>
    <w:next w:val="a"/>
    <w:link w:val="a7"/>
    <w:uiPriority w:val="11"/>
    <w:qFormat/>
    <w:rsid w:val="005923F2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5923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923F2"/>
    <w:pPr>
      <w:ind w:left="1800"/>
    </w:pPr>
  </w:style>
  <w:style w:type="character" w:customStyle="1" w:styleId="toc100">
    <w:name w:val="toc 10"/>
    <w:link w:val="toc10"/>
    <w:rsid w:val="005923F2"/>
  </w:style>
  <w:style w:type="paragraph" w:styleId="a8">
    <w:name w:val="Title"/>
    <w:next w:val="a"/>
    <w:link w:val="a9"/>
    <w:uiPriority w:val="10"/>
    <w:qFormat/>
    <w:rsid w:val="005923F2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5923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923F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923F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6</cp:revision>
  <dcterms:created xsi:type="dcterms:W3CDTF">2022-03-01T07:57:00Z</dcterms:created>
  <dcterms:modified xsi:type="dcterms:W3CDTF">2022-03-01T08:17:00Z</dcterms:modified>
</cp:coreProperties>
</file>