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4308"/>
        <w:gridCol w:w="1380"/>
        <w:gridCol w:w="4626"/>
      </w:tblGrid>
      <w:tr w:rsidR="00DD3A5D" w:rsidRPr="00770D68" w:rsidTr="008D2A01">
        <w:trPr>
          <w:trHeight w:val="1407"/>
        </w:trPr>
        <w:tc>
          <w:tcPr>
            <w:tcW w:w="4308" w:type="dxa"/>
          </w:tcPr>
          <w:p w:rsidR="00DD3A5D" w:rsidRPr="00054B0F" w:rsidRDefault="00DD3A5D" w:rsidP="00F02E5B">
            <w:pPr>
              <w:jc w:val="center"/>
              <w:rPr>
                <w:b/>
              </w:rPr>
            </w:pPr>
            <w:r w:rsidRPr="00054B0F">
              <w:rPr>
                <w:b/>
              </w:rPr>
              <w:t xml:space="preserve">ИСПОЛНИТЕЛЬНЫЙ КОМИТЕТ </w:t>
            </w:r>
          </w:p>
          <w:p w:rsidR="00DD3A5D" w:rsidRPr="00054B0F" w:rsidRDefault="00DD3A5D" w:rsidP="00F02E5B">
            <w:pPr>
              <w:jc w:val="center"/>
              <w:rPr>
                <w:b/>
              </w:rPr>
            </w:pPr>
            <w:r w:rsidRPr="00054B0F">
              <w:rPr>
                <w:b/>
              </w:rPr>
              <w:t>НУРЛАТСКОГО МУНИЦИПАЛЬНОГО РАЙОНА</w:t>
            </w:r>
            <w:r>
              <w:rPr>
                <w:b/>
              </w:rPr>
              <w:br/>
              <w:t>РЕСПУБЛИКИ ТАТАРСТАН</w:t>
            </w:r>
          </w:p>
          <w:p w:rsidR="00DD3A5D" w:rsidRDefault="00DD3A5D" w:rsidP="00F02E5B">
            <w:pPr>
              <w:jc w:val="center"/>
              <w:rPr>
                <w:sz w:val="20"/>
                <w:szCs w:val="20"/>
              </w:rPr>
            </w:pPr>
          </w:p>
          <w:p w:rsidR="00DD3A5D" w:rsidRPr="00A07698" w:rsidRDefault="00DD3A5D" w:rsidP="00F02E5B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7471D9">
              <w:rPr>
                <w:sz w:val="20"/>
                <w:szCs w:val="20"/>
              </w:rPr>
              <w:t>ул</w:t>
            </w:r>
            <w:proofErr w:type="gramStart"/>
            <w:r w:rsidRPr="007471D9">
              <w:rPr>
                <w:sz w:val="20"/>
                <w:szCs w:val="20"/>
              </w:rPr>
              <w:t>.С</w:t>
            </w:r>
            <w:proofErr w:type="gramEnd"/>
            <w:r w:rsidRPr="007471D9">
              <w:rPr>
                <w:sz w:val="20"/>
                <w:szCs w:val="20"/>
              </w:rPr>
              <w:t>оветская</w:t>
            </w:r>
            <w:proofErr w:type="spellEnd"/>
            <w:r w:rsidRPr="007471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</w:t>
            </w:r>
            <w:r w:rsidRPr="007471D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471D9">
              <w:rPr>
                <w:sz w:val="20"/>
                <w:szCs w:val="20"/>
              </w:rPr>
              <w:t>г.Нурлат</w:t>
            </w:r>
            <w:proofErr w:type="spellEnd"/>
            <w:r w:rsidRPr="007471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423040</w:t>
            </w:r>
          </w:p>
        </w:tc>
        <w:tc>
          <w:tcPr>
            <w:tcW w:w="1380" w:type="dxa"/>
          </w:tcPr>
          <w:p w:rsidR="00DD3A5D" w:rsidRPr="00770D68" w:rsidRDefault="00C447E6" w:rsidP="00F02E5B">
            <w:pPr>
              <w:rPr>
                <w:rFonts w:ascii="SL_Times New Roman" w:hAnsi="SL_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44450</wp:posOffset>
                  </wp:positionV>
                  <wp:extent cx="679450" cy="838200"/>
                  <wp:effectExtent l="0" t="0" r="6350" b="0"/>
                  <wp:wrapTight wrapText="bothSides">
                    <wp:wrapPolygon edited="0">
                      <wp:start x="0" y="0"/>
                      <wp:lineTo x="0" y="21109"/>
                      <wp:lineTo x="21196" y="21109"/>
                      <wp:lineTo x="21196" y="0"/>
                      <wp:lineTo x="0" y="0"/>
                    </wp:wrapPolygon>
                  </wp:wrapTight>
                  <wp:docPr id="3" name="Рисунок 2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5" r="2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6" w:type="dxa"/>
          </w:tcPr>
          <w:p w:rsidR="00DD3A5D" w:rsidRPr="003E6FE7" w:rsidRDefault="00DD3A5D" w:rsidP="00F02E5B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ТАТАРСТАН РЕСПУБЛИКАСЫ</w:t>
            </w:r>
          </w:p>
          <w:p w:rsidR="00DD3A5D" w:rsidRPr="003E6FE7" w:rsidRDefault="00DD3A5D" w:rsidP="00F02E5B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НУРЛАТ МУНИ</w:t>
            </w:r>
            <w:r w:rsidRPr="003E6FE7">
              <w:rPr>
                <w:b/>
              </w:rPr>
              <w:t>Ц</w:t>
            </w:r>
            <w:r w:rsidRPr="003E6FE7">
              <w:rPr>
                <w:b/>
                <w:lang w:val="tt-RU"/>
              </w:rPr>
              <w:t>ИПАЛ</w:t>
            </w:r>
            <w:r w:rsidRPr="003E6FE7">
              <w:rPr>
                <w:b/>
              </w:rPr>
              <w:t>Ь</w:t>
            </w:r>
            <w:r w:rsidRPr="003E6FE7">
              <w:rPr>
                <w:b/>
                <w:lang w:val="tt-RU"/>
              </w:rPr>
              <w:t xml:space="preserve"> РАЙОНЫ </w:t>
            </w:r>
          </w:p>
          <w:p w:rsidR="00DD3A5D" w:rsidRPr="003E6FE7" w:rsidRDefault="00DD3A5D" w:rsidP="00F02E5B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БАШКАРМА КОМИТЕТЫ</w:t>
            </w:r>
          </w:p>
          <w:p w:rsidR="00DD3A5D" w:rsidRDefault="00DD3A5D" w:rsidP="00F02E5B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  <w:p w:rsidR="00DD3A5D" w:rsidRDefault="00DD3A5D" w:rsidP="00F02E5B">
            <w:pPr>
              <w:jc w:val="center"/>
              <w:rPr>
                <w:sz w:val="20"/>
                <w:szCs w:val="20"/>
              </w:rPr>
            </w:pPr>
            <w:r w:rsidRPr="004251CD">
              <w:rPr>
                <w:sz w:val="20"/>
                <w:szCs w:val="20"/>
              </w:rPr>
              <w:t xml:space="preserve">Советская </w:t>
            </w:r>
            <w:proofErr w:type="spellStart"/>
            <w:r w:rsidRPr="004251CD"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., 117 </w:t>
            </w:r>
            <w:proofErr w:type="spellStart"/>
            <w:r>
              <w:rPr>
                <w:sz w:val="20"/>
                <w:szCs w:val="20"/>
              </w:rPr>
              <w:t>нче</w:t>
            </w:r>
            <w:proofErr w:type="spellEnd"/>
            <w:r w:rsidR="00CA57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D3A5D" w:rsidRPr="00622858" w:rsidRDefault="00DD3A5D" w:rsidP="00F02E5B">
            <w:pPr>
              <w:jc w:val="center"/>
              <w:rPr>
                <w:sz w:val="20"/>
                <w:szCs w:val="20"/>
              </w:rPr>
            </w:pPr>
            <w:r w:rsidRPr="0074457F">
              <w:rPr>
                <w:sz w:val="20"/>
                <w:szCs w:val="20"/>
              </w:rPr>
              <w:t xml:space="preserve">Нурлат </w:t>
            </w:r>
            <w:proofErr w:type="spellStart"/>
            <w:r w:rsidRPr="0074457F">
              <w:rPr>
                <w:sz w:val="20"/>
                <w:szCs w:val="20"/>
              </w:rPr>
              <w:t>шәhә</w:t>
            </w:r>
            <w:r>
              <w:rPr>
                <w:sz w:val="20"/>
                <w:szCs w:val="20"/>
              </w:rPr>
              <w:t>ре</w:t>
            </w:r>
            <w:proofErr w:type="spellEnd"/>
            <w:r>
              <w:rPr>
                <w:sz w:val="20"/>
                <w:szCs w:val="20"/>
              </w:rPr>
              <w:t xml:space="preserve">, 423040 </w:t>
            </w:r>
          </w:p>
        </w:tc>
      </w:tr>
      <w:tr w:rsidR="00DD3A5D" w:rsidRPr="007471D9" w:rsidTr="008D2A01">
        <w:trPr>
          <w:trHeight w:val="451"/>
        </w:trPr>
        <w:tc>
          <w:tcPr>
            <w:tcW w:w="10314" w:type="dxa"/>
            <w:gridSpan w:val="3"/>
          </w:tcPr>
          <w:p w:rsidR="00DD3A5D" w:rsidRPr="002B46EC" w:rsidRDefault="00DD3A5D" w:rsidP="007332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  <w:t>Телефон: (</w:t>
            </w:r>
            <w:r w:rsidR="006D1872">
              <w:rPr>
                <w:sz w:val="20"/>
                <w:szCs w:val="20"/>
              </w:rPr>
              <w:t>84345) 3190,</w:t>
            </w:r>
            <w:r w:rsidRPr="007471D9">
              <w:rPr>
                <w:sz w:val="20"/>
                <w:szCs w:val="20"/>
              </w:rPr>
              <w:t xml:space="preserve">  факс 22561</w:t>
            </w:r>
            <w:r w:rsidRPr="007471D9">
              <w:rPr>
                <w:sz w:val="20"/>
                <w:szCs w:val="20"/>
                <w:lang w:val="en-US"/>
              </w:rPr>
              <w:t>E</w:t>
            </w:r>
            <w:r w:rsidRPr="002B46EC">
              <w:rPr>
                <w:sz w:val="20"/>
                <w:szCs w:val="20"/>
              </w:rPr>
              <w:t>-</w:t>
            </w:r>
            <w:r w:rsidRPr="007471D9">
              <w:rPr>
                <w:sz w:val="20"/>
                <w:szCs w:val="20"/>
                <w:lang w:val="en-US"/>
              </w:rPr>
              <w:t>mail</w:t>
            </w:r>
            <w:r w:rsidRPr="002B46EC">
              <w:rPr>
                <w:sz w:val="20"/>
                <w:szCs w:val="20"/>
              </w:rPr>
              <w:t xml:space="preserve">: </w:t>
            </w:r>
            <w:hyperlink r:id="rId10" w:history="1"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Nurlat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Ispolkom</w:t>
              </w:r>
              <w:r w:rsidR="00733203" w:rsidRPr="00896345">
                <w:rPr>
                  <w:rStyle w:val="a3"/>
                  <w:sz w:val="20"/>
                  <w:szCs w:val="20"/>
                </w:rPr>
                <w:t>@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33203">
              <w:rPr>
                <w:rStyle w:val="a3"/>
                <w:sz w:val="20"/>
                <w:szCs w:val="20"/>
                <w:u w:val="none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айт</w:t>
            </w:r>
            <w:proofErr w:type="spellEnd"/>
            <w:r>
              <w:rPr>
                <w:sz w:val="20"/>
                <w:szCs w:val="20"/>
              </w:rPr>
              <w:t>: nurlat.tatarstan.ru</w:t>
            </w:r>
          </w:p>
        </w:tc>
      </w:tr>
    </w:tbl>
    <w:p w:rsidR="00B036FF" w:rsidRDefault="00C447E6" w:rsidP="00F066D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15240</wp:posOffset>
                </wp:positionV>
                <wp:extent cx="6089650" cy="6350"/>
                <wp:effectExtent l="0" t="0" r="2540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96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.2pt" to="47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">
                <o:lock v:ext="edit" shapetype="f"/>
                <w10:wrap anchorx="margin"/>
              </v:line>
            </w:pict>
          </mc:Fallback>
        </mc:AlternateContent>
      </w:r>
      <w:r w:rsidR="004E7668">
        <w:rPr>
          <w:sz w:val="28"/>
          <w:szCs w:val="28"/>
        </w:rPr>
        <w:t>______________№_________</w:t>
      </w:r>
      <w:r w:rsidR="00B036FF" w:rsidRPr="00A82971">
        <w:rPr>
          <w:sz w:val="28"/>
          <w:szCs w:val="28"/>
        </w:rPr>
        <w:t xml:space="preserve">                                                   </w:t>
      </w:r>
    </w:p>
    <w:p w:rsidR="00C01F6E" w:rsidRDefault="00C01F6E" w:rsidP="00BD5523">
      <w:pPr>
        <w:pStyle w:val="ab"/>
        <w:jc w:val="both"/>
        <w:rPr>
          <w:noProof/>
          <w:sz w:val="20"/>
          <w:szCs w:val="20"/>
        </w:rPr>
      </w:pPr>
    </w:p>
    <w:p w:rsidR="00C01F6E" w:rsidRDefault="00C01F6E" w:rsidP="00BD5523">
      <w:pPr>
        <w:pStyle w:val="ab"/>
        <w:jc w:val="both"/>
        <w:rPr>
          <w:noProof/>
          <w:sz w:val="20"/>
          <w:szCs w:val="20"/>
        </w:rPr>
      </w:pPr>
    </w:p>
    <w:p w:rsidR="006E382F" w:rsidRDefault="006E382F" w:rsidP="00BD5523">
      <w:pPr>
        <w:pStyle w:val="ab"/>
        <w:jc w:val="both"/>
        <w:rPr>
          <w:noProof/>
          <w:sz w:val="20"/>
          <w:szCs w:val="20"/>
        </w:rPr>
      </w:pPr>
    </w:p>
    <w:p w:rsidR="00431BD5" w:rsidRDefault="00F02E5B" w:rsidP="00E24025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5599">
        <w:rPr>
          <w:sz w:val="28"/>
          <w:szCs w:val="28"/>
        </w:rPr>
        <w:t xml:space="preserve">                                                                 </w:t>
      </w:r>
    </w:p>
    <w:p w:rsidR="00431BD5" w:rsidRDefault="00431BD5" w:rsidP="008C37DB">
      <w:pPr>
        <w:spacing w:line="360" w:lineRule="auto"/>
        <w:ind w:firstLine="284"/>
        <w:jc w:val="both"/>
        <w:rPr>
          <w:sz w:val="28"/>
          <w:szCs w:val="28"/>
        </w:rPr>
      </w:pPr>
    </w:p>
    <w:p w:rsidR="00431BD5" w:rsidRDefault="00431BD5" w:rsidP="008C37DB">
      <w:pPr>
        <w:spacing w:line="360" w:lineRule="auto"/>
        <w:ind w:firstLine="284"/>
        <w:jc w:val="both"/>
        <w:rPr>
          <w:sz w:val="28"/>
          <w:szCs w:val="28"/>
        </w:rPr>
      </w:pPr>
    </w:p>
    <w:p w:rsidR="00BF2FE5" w:rsidRPr="00BF2FE5" w:rsidRDefault="00317810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2FE5">
        <w:rPr>
          <w:sz w:val="28"/>
          <w:szCs w:val="28"/>
        </w:rPr>
        <w:t xml:space="preserve">                                         </w:t>
      </w:r>
      <w:r w:rsidR="00BF2FE5" w:rsidRPr="00BF2FE5">
        <w:rPr>
          <w:sz w:val="28"/>
          <w:szCs w:val="28"/>
        </w:rPr>
        <w:t>Уважаемые руководители!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F2FE5">
        <w:rPr>
          <w:sz w:val="28"/>
          <w:szCs w:val="28"/>
        </w:rPr>
        <w:t>В текущем году в соответствии с постановлением Правительства Российской Федерации от 13.03.2021 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 за счет средств федерального бюджета в Республике Т</w:t>
      </w:r>
      <w:r>
        <w:rPr>
          <w:sz w:val="28"/>
          <w:szCs w:val="28"/>
        </w:rPr>
        <w:t>атарстан организовано обучение: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граждан, ищущих работу и обратившихся в органы службы занятости;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 xml:space="preserve">граждан в возрасте 50 лет и старше и </w:t>
      </w:r>
      <w:proofErr w:type="spellStart"/>
      <w:r w:rsidRPr="00BF2FE5">
        <w:rPr>
          <w:sz w:val="28"/>
          <w:szCs w:val="28"/>
        </w:rPr>
        <w:t>предпенсионного</w:t>
      </w:r>
      <w:proofErr w:type="spellEnd"/>
      <w:r w:rsidRPr="00BF2FE5">
        <w:rPr>
          <w:sz w:val="28"/>
          <w:szCs w:val="28"/>
        </w:rPr>
        <w:t xml:space="preserve"> возраста;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женщин, находящихся в отпуске по уходу за ребенком в возрасте до 3 лет, а также не состоящих в трудовых отношениях и имеющих детей дошкольного возраста.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 xml:space="preserve">Обучение в Республике Татарстан осуществляется ФГАОУ </w:t>
      </w:r>
      <w:proofErr w:type="gramStart"/>
      <w:r w:rsidRPr="00BF2FE5">
        <w:rPr>
          <w:sz w:val="28"/>
          <w:szCs w:val="28"/>
        </w:rPr>
        <w:t>ВО</w:t>
      </w:r>
      <w:proofErr w:type="gramEnd"/>
      <w:r w:rsidRPr="00BF2FE5">
        <w:rPr>
          <w:sz w:val="28"/>
          <w:szCs w:val="28"/>
        </w:rPr>
        <w:t xml:space="preserve"> «Казанский (Приволжский) федеральный университет», Казанским филиалом ФГБОУ ВО «Российская академия народного хозяйства и государственной службы при Президенте Российской Федерации», а также ведущими учреждениями среднего профессионального и высшего образования, входящими в инфраструктуру АНО «Агентство развития профессионального мастерства (</w:t>
      </w:r>
      <w:proofErr w:type="spellStart"/>
      <w:r w:rsidRPr="00BF2FE5">
        <w:rPr>
          <w:sz w:val="28"/>
          <w:szCs w:val="28"/>
        </w:rPr>
        <w:t>Ворлдскиллс</w:t>
      </w:r>
      <w:proofErr w:type="spellEnd"/>
      <w:r w:rsidRPr="00BF2FE5">
        <w:rPr>
          <w:sz w:val="28"/>
          <w:szCs w:val="28"/>
        </w:rPr>
        <w:t xml:space="preserve"> Россия)». 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lastRenderedPageBreak/>
        <w:t>По дистанционной форме пройти обучение возможно в ведущих образовательных центрах Российской Федерации.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 xml:space="preserve">Для участия в обучении гражданину необходимо подать заявку на портале информационно-аналитической системы Общероссийская база вакансий «Работа в России» (trudvsem.ru.) и выбрать образовательную программу и образовательное учреждение. 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В настоящее время гражданам предлагается более 200 образовательных программ. Перечень образовательных программ опубликован на официальном сайте Министерства труда, занятости и социальной защиты Республики Татарстан.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Центры занятости населения городов (районов) республики оказывают содействие гражданам в подаче заявки на обучение.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Также в рамках федерального проекта «Содействие занятости» органы службы занятости организуют обучение граждан из числа безработных под заказ конкретного работодателя в целях последующего трудоустройства.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Проект предусматривает расширение перечня и адаптацию образовательных программ под запросы конкретных работодателей субъекта Российской Федерации.</w:t>
      </w:r>
    </w:p>
    <w:p w:rsidR="00BF2FE5" w:rsidRPr="00BF2FE5" w:rsidRDefault="00BF2FE5" w:rsidP="00BF2FE5">
      <w:pPr>
        <w:spacing w:line="360" w:lineRule="auto"/>
        <w:ind w:left="120" w:firstLine="240"/>
        <w:jc w:val="both"/>
        <w:rPr>
          <w:sz w:val="28"/>
          <w:szCs w:val="28"/>
        </w:rPr>
      </w:pPr>
      <w:r w:rsidRPr="00BF2FE5">
        <w:rPr>
          <w:sz w:val="28"/>
          <w:szCs w:val="28"/>
        </w:rPr>
        <w:t>Подробная информация о реализации проекта изложена в приложении.</w:t>
      </w:r>
    </w:p>
    <w:p w:rsidR="00431BD5" w:rsidRDefault="00BF2FE5" w:rsidP="00BF2FE5">
      <w:pPr>
        <w:spacing w:line="360" w:lineRule="auto"/>
        <w:ind w:left="120" w:firstLine="240"/>
        <w:jc w:val="both"/>
      </w:pPr>
      <w:r w:rsidRPr="00BF2FE5">
        <w:rPr>
          <w:sz w:val="28"/>
          <w:szCs w:val="28"/>
        </w:rPr>
        <w:t xml:space="preserve">Учитывая изложенное, просим ознакомиться с национальным проектом «Демография» и направить в Исполнительный комитет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</w:t>
      </w:r>
      <w:r w:rsidRPr="00BF2FE5">
        <w:rPr>
          <w:sz w:val="28"/>
          <w:szCs w:val="28"/>
        </w:rPr>
        <w:t>муниципального района предложения по расширению направлений обучения с учетом кадровых потребностей на вашем предприятии для проработки вопроса открытия востребованных учебных программ  в срок до 31 мая 2021 года на электронный адрес</w:t>
      </w:r>
      <w:r w:rsidR="00DA3BB1">
        <w:rPr>
          <w:bCs/>
          <w:sz w:val="28"/>
          <w:szCs w:val="28"/>
        </w:rPr>
        <w:t>:</w:t>
      </w:r>
      <w:r w:rsidR="00DA3BB1" w:rsidRPr="00DA3BB1">
        <w:t xml:space="preserve"> </w:t>
      </w:r>
      <w:proofErr w:type="spellStart"/>
      <w:r w:rsidR="00DA3BB1" w:rsidRPr="00DA3BB1">
        <w:rPr>
          <w:bCs/>
          <w:sz w:val="28"/>
          <w:szCs w:val="28"/>
          <w:lang w:val="en-US"/>
        </w:rPr>
        <w:t>ekonom</w:t>
      </w:r>
      <w:proofErr w:type="spellEnd"/>
      <w:r w:rsidR="00DA3BB1" w:rsidRPr="00DA3BB1">
        <w:rPr>
          <w:bCs/>
          <w:sz w:val="28"/>
          <w:szCs w:val="28"/>
        </w:rPr>
        <w:t>17@</w:t>
      </w:r>
      <w:proofErr w:type="spellStart"/>
      <w:r w:rsidR="00DA3BB1" w:rsidRPr="00DA3BB1">
        <w:rPr>
          <w:bCs/>
          <w:sz w:val="28"/>
          <w:szCs w:val="28"/>
          <w:lang w:val="en-US"/>
        </w:rPr>
        <w:t>yandex</w:t>
      </w:r>
      <w:proofErr w:type="spellEnd"/>
      <w:r w:rsidR="00DA3BB1" w:rsidRPr="00DA3BB1">
        <w:rPr>
          <w:bCs/>
          <w:sz w:val="28"/>
          <w:szCs w:val="28"/>
        </w:rPr>
        <w:t>.</w:t>
      </w:r>
      <w:proofErr w:type="spellStart"/>
      <w:r w:rsidR="00DA3BB1" w:rsidRPr="00DA3BB1">
        <w:rPr>
          <w:bCs/>
          <w:sz w:val="28"/>
          <w:szCs w:val="28"/>
          <w:lang w:val="en-US"/>
        </w:rPr>
        <w:t>ru</w:t>
      </w:r>
      <w:proofErr w:type="spellEnd"/>
    </w:p>
    <w:p w:rsidR="00E24025" w:rsidRDefault="00BF2FE5" w:rsidP="00BF2FE5">
      <w:pPr>
        <w:tabs>
          <w:tab w:val="left" w:pos="765"/>
        </w:tabs>
        <w:spacing w:line="360" w:lineRule="auto"/>
        <w:jc w:val="both"/>
      </w:pPr>
      <w:r>
        <w:t xml:space="preserve"> </w:t>
      </w:r>
      <w:r>
        <w:tab/>
      </w: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DA3BB1" w:rsidRDefault="00DA3BB1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Pr="00DA3BB1" w:rsidRDefault="00E24025" w:rsidP="00BF2FE5">
      <w:pPr>
        <w:tabs>
          <w:tab w:val="left" w:pos="765"/>
        </w:tabs>
        <w:spacing w:line="360" w:lineRule="auto"/>
        <w:jc w:val="both"/>
      </w:pPr>
    </w:p>
    <w:p w:rsidR="00E24025" w:rsidRDefault="00BF2FE5" w:rsidP="00E24025">
      <w:pPr>
        <w:spacing w:line="360" w:lineRule="auto"/>
        <w:jc w:val="both"/>
      </w:pPr>
      <w:r>
        <w:lastRenderedPageBreak/>
        <w:t xml:space="preserve"> </w:t>
      </w:r>
      <w:r w:rsidR="00E24025">
        <w:t xml:space="preserve">Приложение </w:t>
      </w:r>
    </w:p>
    <w:p w:rsidR="00E24025" w:rsidRDefault="00E24025" w:rsidP="00E24025">
      <w:pPr>
        <w:spacing w:line="360" w:lineRule="auto"/>
        <w:jc w:val="both"/>
      </w:pPr>
      <w:r>
        <w:t>Информация об обучении граждан в рамках федерального проекта «Содействие занятости» национального проекта «Демография» в 2021 году</w:t>
      </w:r>
    </w:p>
    <w:p w:rsidR="00E24025" w:rsidRDefault="00E24025" w:rsidP="00E24025">
      <w:pPr>
        <w:spacing w:line="360" w:lineRule="auto"/>
        <w:jc w:val="both"/>
      </w:pPr>
    </w:p>
    <w:p w:rsidR="00E24025" w:rsidRDefault="00E24025" w:rsidP="00E24025">
      <w:pPr>
        <w:spacing w:line="360" w:lineRule="auto"/>
        <w:jc w:val="both"/>
      </w:pPr>
      <w:r>
        <w:t>В Республике Татарстан стартовало обучение взрослых жителей республики по программам профессионального обучения и дополнительного профессионального образования в рамках федерального проекта «Содействие занятости» национального проекта «Демография».</w:t>
      </w:r>
    </w:p>
    <w:p w:rsidR="00E24025" w:rsidRDefault="00E24025" w:rsidP="00E24025">
      <w:pPr>
        <w:spacing w:line="360" w:lineRule="auto"/>
        <w:jc w:val="both"/>
      </w:pPr>
      <w:r>
        <w:t>В соответствии с Постановлением Правительства РФ от 13.03.2021 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 за счет средств федерального бюджета организовано обучение:</w:t>
      </w:r>
    </w:p>
    <w:p w:rsidR="00E24025" w:rsidRDefault="00E24025" w:rsidP="00E24025">
      <w:pPr>
        <w:spacing w:line="360" w:lineRule="auto"/>
        <w:jc w:val="both"/>
      </w:pPr>
      <w:r>
        <w:t>граждан, ищущих работу и обратившихся в органы службы занятости;</w:t>
      </w:r>
    </w:p>
    <w:p w:rsidR="00E24025" w:rsidRDefault="00E24025" w:rsidP="00E24025">
      <w:pPr>
        <w:spacing w:line="360" w:lineRule="auto"/>
        <w:jc w:val="both"/>
      </w:pPr>
      <w:r>
        <w:t xml:space="preserve">граждан в возрасте 50 лет и старше и </w:t>
      </w:r>
      <w:proofErr w:type="spellStart"/>
      <w:r>
        <w:t>предпенсионного</w:t>
      </w:r>
      <w:proofErr w:type="spellEnd"/>
      <w:r>
        <w:t xml:space="preserve"> возраста;</w:t>
      </w:r>
    </w:p>
    <w:p w:rsidR="00E24025" w:rsidRDefault="00E24025" w:rsidP="00E24025">
      <w:pPr>
        <w:spacing w:line="360" w:lineRule="auto"/>
        <w:jc w:val="both"/>
      </w:pPr>
      <w:r>
        <w:t>женщин, находящихся в отпуске по уходу за ребенком в возрасте до 3 лет, а также не состоящих в трудовых отношениях и имеющих детей дошкольного возраста.</w:t>
      </w:r>
    </w:p>
    <w:p w:rsidR="00E24025" w:rsidRDefault="00E24025" w:rsidP="00E24025">
      <w:pPr>
        <w:spacing w:line="360" w:lineRule="auto"/>
        <w:jc w:val="both"/>
      </w:pPr>
      <w:r>
        <w:t>безработных граждан.</w:t>
      </w:r>
    </w:p>
    <w:p w:rsidR="00E24025" w:rsidRDefault="00E24025" w:rsidP="00E24025">
      <w:pPr>
        <w:spacing w:line="360" w:lineRule="auto"/>
        <w:jc w:val="both"/>
      </w:pPr>
      <w:r>
        <w:t>В текущем году обучение пройдут не менее 4117 человек.</w:t>
      </w:r>
    </w:p>
    <w:p w:rsidR="00E24025" w:rsidRDefault="00E24025" w:rsidP="00E24025">
      <w:pPr>
        <w:spacing w:line="360" w:lineRule="auto"/>
        <w:jc w:val="both"/>
      </w:pPr>
      <w:proofErr w:type="gramStart"/>
      <w:r>
        <w:t>(Справочно: в соответствии с Правилами регистрации граждан в целях поиска подходящей работы, утвержденных постановлением Правительства Российской Федерации от 7 сентября 2012 г. № 891, регистрации в целях поиска подходящей работы подлежат граждане независимо от места их жительства в Российской Федерации, а также пребывания на территории Российской Федерации.</w:t>
      </w:r>
      <w:proofErr w:type="gramEnd"/>
    </w:p>
    <w:p w:rsidR="00E24025" w:rsidRDefault="00E24025" w:rsidP="00E24025">
      <w:pPr>
        <w:spacing w:line="360" w:lineRule="auto"/>
        <w:jc w:val="both"/>
      </w:pPr>
      <w:r>
        <w:tab/>
        <w:t xml:space="preserve">Постановка на регистрационный учет осуществляется государственными учреждениями службы занятости населения </w:t>
      </w:r>
      <w:r w:rsidR="0098044A">
        <w:t>при предъявлении гражданами сле</w:t>
      </w:r>
      <w:r>
        <w:t>дующих документов:</w:t>
      </w:r>
    </w:p>
    <w:p w:rsidR="00E24025" w:rsidRDefault="00E24025" w:rsidP="00E24025">
      <w:pPr>
        <w:spacing w:line="360" w:lineRule="auto"/>
        <w:jc w:val="both"/>
      </w:pPr>
      <w:r>
        <w:tab/>
        <w:t>а) паспорт гражданина Российской Федерации или документ, его заменяющий;</w:t>
      </w:r>
    </w:p>
    <w:p w:rsidR="00E24025" w:rsidRDefault="00E24025" w:rsidP="00E24025">
      <w:pPr>
        <w:spacing w:line="360" w:lineRule="auto"/>
        <w:jc w:val="both"/>
      </w:pPr>
      <w:r>
        <w:tab/>
        <w:t>б) для граждан, относящихся к категории инвалидов, - индивидуальная программа реабилитации инвалида, выданная в установленном порядке и содержащая заключение о рекомендуемом характере и об условиях труда (далее - индивидуальная программа реабилитации).</w:t>
      </w:r>
    </w:p>
    <w:p w:rsidR="00E24025" w:rsidRDefault="00E24025" w:rsidP="00E24025">
      <w:pPr>
        <w:spacing w:line="360" w:lineRule="auto"/>
        <w:jc w:val="both"/>
      </w:pPr>
      <w:proofErr w:type="gramStart"/>
      <w:r>
        <w:t>Подтверждение занятости или не занятости граждан не требуется.).</w:t>
      </w:r>
      <w:proofErr w:type="gramEnd"/>
    </w:p>
    <w:p w:rsidR="00E24025" w:rsidRDefault="00E24025" w:rsidP="00E24025">
      <w:pPr>
        <w:spacing w:line="360" w:lineRule="auto"/>
        <w:jc w:val="both"/>
      </w:pPr>
    </w:p>
    <w:p w:rsidR="00E24025" w:rsidRDefault="00E24025" w:rsidP="00E24025">
      <w:pPr>
        <w:spacing w:line="360" w:lineRule="auto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принять участие в обучении, гражданину необходимо самостоятельно подать заявку на портале информационно-аналитической системы Общероссийская база вакансий «Работа в России» (trudvsem.ru.) и выбрать образовательную программу. Перечень доступных в Республике Татарстан образовательных программ, размещен на портале. В настоящее время можно выбрать одну </w:t>
      </w:r>
      <w:proofErr w:type="gramStart"/>
      <w:r>
        <w:t>из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200 образовательных программ. Это короткие программы </w:t>
      </w:r>
      <w:r>
        <w:lastRenderedPageBreak/>
        <w:t>повышения квалификации (72 учебных часа) и более продолжительные программы профессионального обучения (144 часа) и профессиональной переподготовки (256 часов). Перечень программ на портале регулярно обновляется. По каждой образовательной программе указана образовательная организация, осуществляющая обучение. По ряду программ предлагается дистанционная форма обучения.</w:t>
      </w:r>
    </w:p>
    <w:p w:rsidR="00E24025" w:rsidRDefault="00E24025" w:rsidP="00E24025">
      <w:pPr>
        <w:spacing w:line="360" w:lineRule="auto"/>
        <w:jc w:val="both"/>
      </w:pPr>
      <w:r>
        <w:t>С перечнем образовательных программ можно ознакомиться на официальном сайте Министерства труда, занятости  и социальной защиты Республики Татарстан.</w:t>
      </w:r>
    </w:p>
    <w:p w:rsidR="00E24025" w:rsidRDefault="00E24025" w:rsidP="00E24025">
      <w:pPr>
        <w:spacing w:line="360" w:lineRule="auto"/>
        <w:jc w:val="both"/>
      </w:pPr>
      <w:r>
        <w:t>По окончании обучения граждане получают документы о квалификации в соответствии с законодательством об образовании.</w:t>
      </w:r>
    </w:p>
    <w:p w:rsidR="00E24025" w:rsidRDefault="00E24025" w:rsidP="00E24025">
      <w:pPr>
        <w:spacing w:line="360" w:lineRule="auto"/>
        <w:jc w:val="both"/>
      </w:pPr>
      <w:r>
        <w:t>Подача заявки осуществляется в 6 про</w:t>
      </w:r>
      <w:r w:rsidR="0098044A">
        <w:t>стых шагов. Граждане могут обра</w:t>
      </w:r>
      <w:r>
        <w:t>титься в центр занятости населения города (р</w:t>
      </w:r>
      <w:r w:rsidR="0098044A">
        <w:t>айона) по месту проживания и со</w:t>
      </w:r>
      <w:r>
        <w:t>трудник ЦЗН поможет гражданину подать заявку на обучение на портале «Работа в России».</w:t>
      </w:r>
    </w:p>
    <w:p w:rsidR="00E24025" w:rsidRDefault="00E24025" w:rsidP="00E24025">
      <w:pPr>
        <w:spacing w:line="360" w:lineRule="auto"/>
        <w:jc w:val="both"/>
      </w:pPr>
      <w:r>
        <w:t xml:space="preserve">Обучение должно быть завершено до 15 декабря текущего года, в настоящее время идет комплектование учебных групп. </w:t>
      </w:r>
    </w:p>
    <w:p w:rsidR="00E24025" w:rsidRDefault="00E24025" w:rsidP="00E24025">
      <w:pPr>
        <w:spacing w:line="360" w:lineRule="auto"/>
        <w:jc w:val="both"/>
      </w:pPr>
      <w:r>
        <w:t>Также в рамках федерального проекта центры занятости населения организуют подбор и обучение граждан из числа безработных под заказ конкретного работодателя в целях последующего гарантированного трудоустройства.</w:t>
      </w:r>
    </w:p>
    <w:p w:rsidR="00E24025" w:rsidRDefault="00E24025" w:rsidP="00E24025">
      <w:pPr>
        <w:spacing w:line="360" w:lineRule="auto"/>
        <w:jc w:val="both"/>
      </w:pPr>
    </w:p>
    <w:p w:rsidR="00E24025" w:rsidRDefault="00E24025" w:rsidP="00E24025">
      <w:pPr>
        <w:spacing w:line="360" w:lineRule="auto"/>
        <w:jc w:val="both"/>
      </w:pPr>
      <w:r>
        <w:t xml:space="preserve">Мероприятия по обучению в рамках федерального проекта «Содействие занятости» национального проекта «Демография» реализуются с целью обеспечения наиболее качественной занятости. </w:t>
      </w:r>
    </w:p>
    <w:p w:rsidR="00E24025" w:rsidRDefault="00E24025" w:rsidP="00E24025">
      <w:pPr>
        <w:spacing w:line="360" w:lineRule="auto"/>
        <w:jc w:val="both"/>
      </w:pPr>
      <w:r>
        <w:t>Обучение будет способствовать приобретению трудовых навыков и адаптации на рабочем месте, повышению конкурентоспособности на рынке труда.</w:t>
      </w:r>
    </w:p>
    <w:p w:rsidR="00E24025" w:rsidRDefault="00E24025" w:rsidP="00E24025">
      <w:pPr>
        <w:spacing w:line="360" w:lineRule="auto"/>
        <w:jc w:val="both"/>
      </w:pPr>
      <w:r>
        <w:t>Обучение осуществляется по профессиям и специальностям в соответствии с потребностью рынка труда, в том числе под заказ конкретного работодателя под гарантированное трудоустройство.</w:t>
      </w:r>
    </w:p>
    <w:p w:rsidR="00E24025" w:rsidRDefault="00E24025" w:rsidP="00E24025">
      <w:pPr>
        <w:spacing w:line="360" w:lineRule="auto"/>
        <w:jc w:val="both"/>
      </w:pPr>
      <w:r>
        <w:t>Цель обучения – обеспечение занятости обученных граждан.</w:t>
      </w:r>
    </w:p>
    <w:p w:rsidR="00E24025" w:rsidRDefault="00E24025" w:rsidP="00E24025">
      <w:pPr>
        <w:spacing w:line="360" w:lineRule="auto"/>
        <w:jc w:val="both"/>
      </w:pPr>
      <w:proofErr w:type="gramStart"/>
      <w:r>
        <w:t xml:space="preserve">В соответствии с разъяснениями Министерства труда и социальной защиты Российской Федерации от 08.04.2021 № 16-2/В-212 результатом мероприятий по профессиональному обучению и дополнительному профессиональному образованию является численность занятых граждан, в том числе приступивших к трудовой деятельности, зарегистрировавшихся в качестве индивидуального предпринимателя, в частности, начавших применять специальный налоговый режим «Налог на профессиональный доход», по окончании обучения. </w:t>
      </w:r>
      <w:proofErr w:type="gramEnd"/>
    </w:p>
    <w:p w:rsidR="00E24025" w:rsidRDefault="00E24025" w:rsidP="00E24025">
      <w:pPr>
        <w:spacing w:line="360" w:lineRule="auto"/>
        <w:jc w:val="both"/>
      </w:pPr>
      <w:r>
        <w:t>При этом занятые граждане, прошедшие профессиональное обучение и сохранившие свою занятость на прежнем месте работы, учитываются при расчете указанного результата.</w:t>
      </w:r>
    </w:p>
    <w:p w:rsidR="00E24025" w:rsidRDefault="00E24025" w:rsidP="00E24025">
      <w:pPr>
        <w:spacing w:line="360" w:lineRule="auto"/>
        <w:jc w:val="both"/>
      </w:pPr>
    </w:p>
    <w:p w:rsidR="00E24025" w:rsidRDefault="00E24025" w:rsidP="00E24025">
      <w:pPr>
        <w:spacing w:line="360" w:lineRule="auto"/>
        <w:jc w:val="both"/>
      </w:pPr>
      <w:r>
        <w:t xml:space="preserve">Постановлением зафиксирована средняя стоимость обучения 1 человека – 59,6 тыс. руб. </w:t>
      </w:r>
    </w:p>
    <w:p w:rsidR="00E24025" w:rsidRDefault="00E24025" w:rsidP="00E24025">
      <w:pPr>
        <w:spacing w:line="360" w:lineRule="auto"/>
        <w:jc w:val="both"/>
      </w:pPr>
    </w:p>
    <w:p w:rsidR="00E24025" w:rsidRDefault="00E24025" w:rsidP="00E24025">
      <w:pPr>
        <w:spacing w:line="360" w:lineRule="auto"/>
        <w:jc w:val="both"/>
      </w:pPr>
      <w:r>
        <w:lastRenderedPageBreak/>
        <w:t>Реализация мероприятий по обучению отдельных категорий граждан осуществляется при содействии некоммерческих организаций – федеральных операторов.</w:t>
      </w:r>
    </w:p>
    <w:p w:rsidR="00E24025" w:rsidRDefault="00E24025" w:rsidP="00E24025">
      <w:pPr>
        <w:spacing w:line="360" w:lineRule="auto"/>
        <w:jc w:val="both"/>
      </w:pPr>
      <w:r>
        <w:t xml:space="preserve">Постановлением определены 3 </w:t>
      </w:r>
      <w:proofErr w:type="gramStart"/>
      <w:r>
        <w:t>федеральных</w:t>
      </w:r>
      <w:proofErr w:type="gramEnd"/>
      <w:r>
        <w:t xml:space="preserve"> оператора, которым Федеральной службой по труду и занятости из федерального бюджета предоставлены гранты в форме субсидии на организацию обучения:</w:t>
      </w:r>
    </w:p>
    <w:p w:rsidR="00E24025" w:rsidRDefault="00E24025" w:rsidP="00E24025">
      <w:pPr>
        <w:spacing w:line="360" w:lineRule="auto"/>
        <w:jc w:val="both"/>
      </w:pPr>
      <w:r>
        <w:t>АНО «Агентство развития профессионального мастерства (</w:t>
      </w:r>
      <w:proofErr w:type="spellStart"/>
      <w:r>
        <w:t>Ворлдскиллс</w:t>
      </w:r>
      <w:proofErr w:type="spellEnd"/>
      <w:r>
        <w:t xml:space="preserve"> Россия)»;</w:t>
      </w:r>
    </w:p>
    <w:p w:rsidR="00E24025" w:rsidRDefault="00E24025" w:rsidP="00E24025">
      <w:pPr>
        <w:spacing w:line="360" w:lineRule="auto"/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«Российская академия народного хозяйства и государственной службы при Президенте Российской Федерации»;</w:t>
      </w:r>
    </w:p>
    <w:p w:rsidR="00E24025" w:rsidRDefault="00E24025" w:rsidP="00E24025">
      <w:pPr>
        <w:spacing w:line="360" w:lineRule="auto"/>
        <w:jc w:val="both"/>
      </w:pPr>
      <w:r>
        <w:t xml:space="preserve">ФГАОУ </w:t>
      </w:r>
      <w:proofErr w:type="gramStart"/>
      <w:r>
        <w:t>ВО</w:t>
      </w:r>
      <w:proofErr w:type="gramEnd"/>
      <w:r>
        <w:t xml:space="preserve"> «Национальный исследовательский Томский государственный университет».</w:t>
      </w:r>
    </w:p>
    <w:p w:rsidR="00E24025" w:rsidRDefault="00E24025" w:rsidP="00E24025">
      <w:pPr>
        <w:spacing w:line="360" w:lineRule="auto"/>
        <w:jc w:val="both"/>
      </w:pPr>
      <w:r>
        <w:t>Каждый федеральный оператор определяет регионального оператора, который реализует мероприятия по обучению в регионе. В Республике Татарстан определены региональные операторы:</w:t>
      </w:r>
    </w:p>
    <w:p w:rsidR="00E24025" w:rsidRDefault="00E24025" w:rsidP="00E24025">
      <w:pPr>
        <w:spacing w:line="360" w:lineRule="auto"/>
        <w:jc w:val="both"/>
      </w:pPr>
      <w:proofErr w:type="spellStart"/>
      <w:r>
        <w:t>Ворлдскиллс</w:t>
      </w:r>
      <w:proofErr w:type="spellEnd"/>
      <w:r>
        <w:t xml:space="preserve"> Россия - АНО «Центр развития профессиональных компетенций»;</w:t>
      </w:r>
    </w:p>
    <w:p w:rsidR="00E24025" w:rsidRDefault="00E24025" w:rsidP="00E24025">
      <w:pPr>
        <w:spacing w:line="360" w:lineRule="auto"/>
        <w:jc w:val="both"/>
      </w:pPr>
      <w:r>
        <w:t>ФГБОУ ВО «</w:t>
      </w:r>
      <w:proofErr w:type="spellStart"/>
      <w:r>
        <w:t>РАНХиГС</w:t>
      </w:r>
      <w:proofErr w:type="spellEnd"/>
      <w:r>
        <w:t xml:space="preserve"> при Президенте Российской Федерации» - Казан</w:t>
      </w:r>
      <w:bookmarkStart w:id="0" w:name="_GoBack"/>
      <w:bookmarkEnd w:id="0"/>
      <w:r>
        <w:t>ский филиал ФГБОУ ВО «</w:t>
      </w:r>
      <w:proofErr w:type="spellStart"/>
      <w:r>
        <w:t>РАНХиГС</w:t>
      </w:r>
      <w:proofErr w:type="spellEnd"/>
      <w:r>
        <w:t xml:space="preserve"> при Президенте Российской Федерации»;</w:t>
      </w:r>
    </w:p>
    <w:p w:rsidR="00E24025" w:rsidRDefault="00E24025" w:rsidP="00E24025">
      <w:pPr>
        <w:spacing w:line="360" w:lineRule="auto"/>
        <w:jc w:val="both"/>
      </w:pPr>
      <w:r>
        <w:t xml:space="preserve">ФГАОУ </w:t>
      </w:r>
      <w:proofErr w:type="gramStart"/>
      <w:r>
        <w:t>ВО</w:t>
      </w:r>
      <w:proofErr w:type="gramEnd"/>
      <w:r>
        <w:t xml:space="preserve"> «Национальный исследовательский Томский государственный университет» - ФГАОУ ВО «Казанский (Приволжский) федеральный университет».</w:t>
      </w:r>
    </w:p>
    <w:p w:rsidR="00E24025" w:rsidRDefault="00E24025" w:rsidP="00E24025">
      <w:pPr>
        <w:spacing w:line="360" w:lineRule="auto"/>
        <w:jc w:val="both"/>
      </w:pPr>
      <w:r>
        <w:t xml:space="preserve">Обучение целевых категорий граждан осуществляется в указанных ВУЗах, а также в образовательных организациях республики, входящих в инфраструктуру </w:t>
      </w:r>
      <w:proofErr w:type="spellStart"/>
      <w:r>
        <w:t>Ворлдскиллс</w:t>
      </w:r>
      <w:proofErr w:type="spellEnd"/>
      <w:r>
        <w:t xml:space="preserve"> Россия и обучающих по международным стандартам </w:t>
      </w:r>
      <w:proofErr w:type="spellStart"/>
      <w:r>
        <w:t>Ворлдскиллс</w:t>
      </w:r>
      <w:proofErr w:type="spellEnd"/>
      <w:r>
        <w:t xml:space="preserve"> – сегодня это 38 ведущих образовательных организаций республики, в ближайшее время их число увеличится до 60. Так, например, в инфраструктуру </w:t>
      </w:r>
      <w:proofErr w:type="spellStart"/>
      <w:r>
        <w:t>Ворлдскиллс</w:t>
      </w:r>
      <w:proofErr w:type="spellEnd"/>
      <w:r>
        <w:t xml:space="preserve"> Россия входят такие ресурсные центры профессионального образования в городах и районах республики как: </w:t>
      </w:r>
      <w:proofErr w:type="spellStart"/>
      <w:r>
        <w:t>Альметьевский</w:t>
      </w:r>
      <w:proofErr w:type="spellEnd"/>
      <w:r>
        <w:t xml:space="preserve"> политехнический техникум, Арский педагогический колледж им. Г. Тукая, </w:t>
      </w:r>
      <w:proofErr w:type="spellStart"/>
      <w:r>
        <w:t>Бугульминские</w:t>
      </w:r>
      <w:proofErr w:type="spellEnd"/>
      <w:r>
        <w:t xml:space="preserve"> машиностроительный техникум и строительно-технический колледж, </w:t>
      </w:r>
      <w:proofErr w:type="spellStart"/>
      <w:r>
        <w:t>Елабужский</w:t>
      </w:r>
      <w:proofErr w:type="spellEnd"/>
      <w:r>
        <w:t xml:space="preserve"> политехнический колледж, </w:t>
      </w:r>
      <w:proofErr w:type="spellStart"/>
      <w:r>
        <w:t>Зеленодольский</w:t>
      </w:r>
      <w:proofErr w:type="spellEnd"/>
      <w:r>
        <w:t xml:space="preserve"> механический колледж, </w:t>
      </w:r>
      <w:proofErr w:type="spellStart"/>
      <w:r>
        <w:t>Лениногорский</w:t>
      </w:r>
      <w:proofErr w:type="spellEnd"/>
      <w:r>
        <w:t xml:space="preserve"> нефтяной техникум, </w:t>
      </w:r>
      <w:proofErr w:type="spellStart"/>
      <w:r>
        <w:t>Мамадышский</w:t>
      </w:r>
      <w:proofErr w:type="spellEnd"/>
      <w:r>
        <w:t xml:space="preserve"> политехнический колледж, </w:t>
      </w:r>
      <w:proofErr w:type="spellStart"/>
      <w:r>
        <w:t>Набережночелнинский</w:t>
      </w:r>
      <w:proofErr w:type="spellEnd"/>
      <w:r>
        <w:t xml:space="preserve"> политехнический колледж, Нижнекамский агропромышленный колледж, </w:t>
      </w:r>
      <w:proofErr w:type="spellStart"/>
      <w:r>
        <w:t>Буинский</w:t>
      </w:r>
      <w:proofErr w:type="spellEnd"/>
      <w:r>
        <w:t xml:space="preserve"> ветеринарный техникум и др.</w:t>
      </w:r>
    </w:p>
    <w:p w:rsidR="00E24025" w:rsidRDefault="00E24025" w:rsidP="00E24025">
      <w:pPr>
        <w:spacing w:line="360" w:lineRule="auto"/>
        <w:jc w:val="both"/>
      </w:pPr>
      <w:proofErr w:type="gramStart"/>
      <w:r>
        <w:t xml:space="preserve">В Казани сеть учебных заведений </w:t>
      </w:r>
      <w:proofErr w:type="spellStart"/>
      <w:r>
        <w:t>Ворлдскиллс</w:t>
      </w:r>
      <w:proofErr w:type="spellEnd"/>
      <w:r>
        <w:t xml:space="preserve"> Россия представлена такими флагманами среднего профессионального образования как Международный колледж сервиса, Международный центр компетенций - Казанский техникум информационных технологий и связи, Педагогический колледж, Авиационно-технический колледж им. П.В. Дементьева, Строительный колледж, Колледж технологии и дизайна, Энергетический колледж, Техникум народных художественных промыслов, и др., а также ВУЗами - Казанским национальным исследовательским технологическим университетом, Казанским национальным исследовательским техническим</w:t>
      </w:r>
      <w:proofErr w:type="gramEnd"/>
      <w:r>
        <w:t xml:space="preserve"> университетом им. А.Н. Туполева-КАИ, Казанским государственным энергетическим </w:t>
      </w:r>
      <w:r>
        <w:lastRenderedPageBreak/>
        <w:t xml:space="preserve">университетом, Казанским инновационным университетом им. В.Г. </w:t>
      </w:r>
      <w:proofErr w:type="spellStart"/>
      <w:r>
        <w:t>Тимирясова</w:t>
      </w:r>
      <w:proofErr w:type="spellEnd"/>
      <w:r>
        <w:t>, Российским университетом кооперации (филиал в Республике Татарстан).</w:t>
      </w:r>
    </w:p>
    <w:p w:rsidR="00E24025" w:rsidRDefault="00E24025" w:rsidP="00E24025">
      <w:pPr>
        <w:spacing w:line="360" w:lineRule="auto"/>
        <w:jc w:val="both"/>
      </w:pPr>
    </w:p>
    <w:p w:rsidR="00BF2FE5" w:rsidRPr="00DA3BB1" w:rsidRDefault="00BF2FE5" w:rsidP="008C37DB">
      <w:pPr>
        <w:spacing w:line="360" w:lineRule="auto"/>
        <w:jc w:val="both"/>
      </w:pPr>
    </w:p>
    <w:p w:rsidR="00215599" w:rsidRDefault="00215599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Default="00E24025" w:rsidP="00F14A9E">
      <w:pPr>
        <w:spacing w:line="360" w:lineRule="auto"/>
        <w:jc w:val="both"/>
        <w:rPr>
          <w:sz w:val="16"/>
          <w:szCs w:val="16"/>
        </w:rPr>
      </w:pPr>
    </w:p>
    <w:p w:rsidR="00E24025" w:rsidRPr="00215599" w:rsidRDefault="00E24025" w:rsidP="00F14A9E">
      <w:pPr>
        <w:spacing w:line="360" w:lineRule="auto"/>
        <w:jc w:val="both"/>
        <w:rPr>
          <w:sz w:val="16"/>
          <w:szCs w:val="16"/>
        </w:rPr>
      </w:pPr>
    </w:p>
    <w:sectPr w:rsidR="00E24025" w:rsidRPr="00215599" w:rsidSect="00E93CEF">
      <w:pgSz w:w="11906" w:h="16838"/>
      <w:pgMar w:top="709" w:right="566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B1" w:rsidRDefault="00DA3BB1" w:rsidP="00A07698">
      <w:r>
        <w:separator/>
      </w:r>
    </w:p>
  </w:endnote>
  <w:endnote w:type="continuationSeparator" w:id="0">
    <w:p w:rsidR="00DA3BB1" w:rsidRDefault="00DA3BB1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B1" w:rsidRDefault="00DA3BB1" w:rsidP="00A07698">
      <w:r>
        <w:separator/>
      </w:r>
    </w:p>
  </w:footnote>
  <w:footnote w:type="continuationSeparator" w:id="0">
    <w:p w:rsidR="00DA3BB1" w:rsidRDefault="00DA3BB1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60"/>
    <w:rsid w:val="00001962"/>
    <w:rsid w:val="00002360"/>
    <w:rsid w:val="000034F0"/>
    <w:rsid w:val="00012A8A"/>
    <w:rsid w:val="00021A0E"/>
    <w:rsid w:val="000333C4"/>
    <w:rsid w:val="00035163"/>
    <w:rsid w:val="00035216"/>
    <w:rsid w:val="00035A5D"/>
    <w:rsid w:val="00045AFF"/>
    <w:rsid w:val="00054B0F"/>
    <w:rsid w:val="000552A4"/>
    <w:rsid w:val="00061FDB"/>
    <w:rsid w:val="000639A6"/>
    <w:rsid w:val="000942A2"/>
    <w:rsid w:val="000947BC"/>
    <w:rsid w:val="0009587A"/>
    <w:rsid w:val="000C1396"/>
    <w:rsid w:val="000C7991"/>
    <w:rsid w:val="000F641E"/>
    <w:rsid w:val="000F6431"/>
    <w:rsid w:val="00114C3A"/>
    <w:rsid w:val="00115AA9"/>
    <w:rsid w:val="00126684"/>
    <w:rsid w:val="00126740"/>
    <w:rsid w:val="001368C7"/>
    <w:rsid w:val="0013719A"/>
    <w:rsid w:val="00167413"/>
    <w:rsid w:val="00174748"/>
    <w:rsid w:val="00176D55"/>
    <w:rsid w:val="0018594B"/>
    <w:rsid w:val="001934B2"/>
    <w:rsid w:val="001A64F2"/>
    <w:rsid w:val="001B2CC9"/>
    <w:rsid w:val="001B4021"/>
    <w:rsid w:val="001C4D48"/>
    <w:rsid w:val="001D11A7"/>
    <w:rsid w:val="0020203E"/>
    <w:rsid w:val="00202182"/>
    <w:rsid w:val="002038BC"/>
    <w:rsid w:val="0020563A"/>
    <w:rsid w:val="00214CC7"/>
    <w:rsid w:val="00215599"/>
    <w:rsid w:val="002223F1"/>
    <w:rsid w:val="0022601C"/>
    <w:rsid w:val="00226FA8"/>
    <w:rsid w:val="002424A0"/>
    <w:rsid w:val="002513DD"/>
    <w:rsid w:val="00254976"/>
    <w:rsid w:val="00263A5B"/>
    <w:rsid w:val="00271016"/>
    <w:rsid w:val="00276688"/>
    <w:rsid w:val="002822BE"/>
    <w:rsid w:val="002B46EC"/>
    <w:rsid w:val="002C6693"/>
    <w:rsid w:val="002D02F7"/>
    <w:rsid w:val="002D5463"/>
    <w:rsid w:val="002D5C85"/>
    <w:rsid w:val="002E08D9"/>
    <w:rsid w:val="002E44CA"/>
    <w:rsid w:val="003023C0"/>
    <w:rsid w:val="00303ECF"/>
    <w:rsid w:val="0030750F"/>
    <w:rsid w:val="00317810"/>
    <w:rsid w:val="003275FB"/>
    <w:rsid w:val="003278F9"/>
    <w:rsid w:val="00350EA4"/>
    <w:rsid w:val="0038651A"/>
    <w:rsid w:val="003C463B"/>
    <w:rsid w:val="003C623D"/>
    <w:rsid w:val="003D6B5B"/>
    <w:rsid w:val="003D7B3E"/>
    <w:rsid w:val="003E50D3"/>
    <w:rsid w:val="003E6FE7"/>
    <w:rsid w:val="004235CC"/>
    <w:rsid w:val="004251CD"/>
    <w:rsid w:val="00431BD5"/>
    <w:rsid w:val="00450332"/>
    <w:rsid w:val="00452B88"/>
    <w:rsid w:val="00462AD0"/>
    <w:rsid w:val="00472CA5"/>
    <w:rsid w:val="004741CF"/>
    <w:rsid w:val="004765BF"/>
    <w:rsid w:val="00481524"/>
    <w:rsid w:val="004A2AA0"/>
    <w:rsid w:val="004A720C"/>
    <w:rsid w:val="004B0C2D"/>
    <w:rsid w:val="004B1831"/>
    <w:rsid w:val="004D105A"/>
    <w:rsid w:val="004D734F"/>
    <w:rsid w:val="004E7668"/>
    <w:rsid w:val="00543CD9"/>
    <w:rsid w:val="00552AB1"/>
    <w:rsid w:val="005606B5"/>
    <w:rsid w:val="00582001"/>
    <w:rsid w:val="005B179A"/>
    <w:rsid w:val="005B605B"/>
    <w:rsid w:val="005E046A"/>
    <w:rsid w:val="00622858"/>
    <w:rsid w:val="006543FE"/>
    <w:rsid w:val="006556F0"/>
    <w:rsid w:val="0067284A"/>
    <w:rsid w:val="00684594"/>
    <w:rsid w:val="00691537"/>
    <w:rsid w:val="0069466B"/>
    <w:rsid w:val="006A0043"/>
    <w:rsid w:val="006B2409"/>
    <w:rsid w:val="006B27B2"/>
    <w:rsid w:val="006B4E2D"/>
    <w:rsid w:val="006D1872"/>
    <w:rsid w:val="006E382F"/>
    <w:rsid w:val="006F2CAA"/>
    <w:rsid w:val="006F6B86"/>
    <w:rsid w:val="0070129C"/>
    <w:rsid w:val="00702075"/>
    <w:rsid w:val="00714EFF"/>
    <w:rsid w:val="007208B4"/>
    <w:rsid w:val="00722C3A"/>
    <w:rsid w:val="00730D61"/>
    <w:rsid w:val="00733203"/>
    <w:rsid w:val="0074457F"/>
    <w:rsid w:val="007471D9"/>
    <w:rsid w:val="00756065"/>
    <w:rsid w:val="007611E0"/>
    <w:rsid w:val="007854E6"/>
    <w:rsid w:val="007A3DEF"/>
    <w:rsid w:val="007A4EBC"/>
    <w:rsid w:val="007C0602"/>
    <w:rsid w:val="007C3D28"/>
    <w:rsid w:val="007C7F12"/>
    <w:rsid w:val="007D283C"/>
    <w:rsid w:val="007D71AD"/>
    <w:rsid w:val="007E41B4"/>
    <w:rsid w:val="007E474D"/>
    <w:rsid w:val="007E4F8F"/>
    <w:rsid w:val="007E59F2"/>
    <w:rsid w:val="007E67F2"/>
    <w:rsid w:val="008000A7"/>
    <w:rsid w:val="00806DAF"/>
    <w:rsid w:val="00807D86"/>
    <w:rsid w:val="00816FA1"/>
    <w:rsid w:val="00855114"/>
    <w:rsid w:val="00856FBC"/>
    <w:rsid w:val="00880792"/>
    <w:rsid w:val="008B05FF"/>
    <w:rsid w:val="008B63D2"/>
    <w:rsid w:val="008B6F91"/>
    <w:rsid w:val="008C0A25"/>
    <w:rsid w:val="008C37DB"/>
    <w:rsid w:val="008D2A01"/>
    <w:rsid w:val="008E3758"/>
    <w:rsid w:val="008E7204"/>
    <w:rsid w:val="008E7BA1"/>
    <w:rsid w:val="00910643"/>
    <w:rsid w:val="00912B5D"/>
    <w:rsid w:val="00925467"/>
    <w:rsid w:val="00927D78"/>
    <w:rsid w:val="00950C15"/>
    <w:rsid w:val="00950EAE"/>
    <w:rsid w:val="00952B7B"/>
    <w:rsid w:val="009644D8"/>
    <w:rsid w:val="0098044A"/>
    <w:rsid w:val="00994FCC"/>
    <w:rsid w:val="0099682E"/>
    <w:rsid w:val="00996A2C"/>
    <w:rsid w:val="009A1317"/>
    <w:rsid w:val="009A2F1A"/>
    <w:rsid w:val="009A53EF"/>
    <w:rsid w:val="009C112D"/>
    <w:rsid w:val="009C7F05"/>
    <w:rsid w:val="009D24E2"/>
    <w:rsid w:val="009D64A0"/>
    <w:rsid w:val="009D6CC3"/>
    <w:rsid w:val="00A00994"/>
    <w:rsid w:val="00A07698"/>
    <w:rsid w:val="00A124F2"/>
    <w:rsid w:val="00A15308"/>
    <w:rsid w:val="00A36148"/>
    <w:rsid w:val="00A36704"/>
    <w:rsid w:val="00A42B83"/>
    <w:rsid w:val="00A4609A"/>
    <w:rsid w:val="00A50151"/>
    <w:rsid w:val="00A52027"/>
    <w:rsid w:val="00A80738"/>
    <w:rsid w:val="00A85754"/>
    <w:rsid w:val="00AA49F6"/>
    <w:rsid w:val="00AD03BE"/>
    <w:rsid w:val="00AE2A07"/>
    <w:rsid w:val="00AE4A88"/>
    <w:rsid w:val="00B036FF"/>
    <w:rsid w:val="00B135D0"/>
    <w:rsid w:val="00B163D1"/>
    <w:rsid w:val="00B17879"/>
    <w:rsid w:val="00B17F28"/>
    <w:rsid w:val="00B20698"/>
    <w:rsid w:val="00B33263"/>
    <w:rsid w:val="00B33995"/>
    <w:rsid w:val="00B360B5"/>
    <w:rsid w:val="00B43DD2"/>
    <w:rsid w:val="00B50EEF"/>
    <w:rsid w:val="00B5589D"/>
    <w:rsid w:val="00B6025B"/>
    <w:rsid w:val="00B60B56"/>
    <w:rsid w:val="00B9592B"/>
    <w:rsid w:val="00BA56CF"/>
    <w:rsid w:val="00BB71E9"/>
    <w:rsid w:val="00BC69E2"/>
    <w:rsid w:val="00BD492D"/>
    <w:rsid w:val="00BD5523"/>
    <w:rsid w:val="00BE749C"/>
    <w:rsid w:val="00BF2FE5"/>
    <w:rsid w:val="00C01F6E"/>
    <w:rsid w:val="00C24EA2"/>
    <w:rsid w:val="00C25E96"/>
    <w:rsid w:val="00C26739"/>
    <w:rsid w:val="00C33583"/>
    <w:rsid w:val="00C35EA4"/>
    <w:rsid w:val="00C3700E"/>
    <w:rsid w:val="00C372D5"/>
    <w:rsid w:val="00C447E6"/>
    <w:rsid w:val="00C71023"/>
    <w:rsid w:val="00C82BEF"/>
    <w:rsid w:val="00C876C7"/>
    <w:rsid w:val="00C94E7B"/>
    <w:rsid w:val="00CA42B6"/>
    <w:rsid w:val="00CA5700"/>
    <w:rsid w:val="00CD7727"/>
    <w:rsid w:val="00CE0E79"/>
    <w:rsid w:val="00CE4C23"/>
    <w:rsid w:val="00D0326F"/>
    <w:rsid w:val="00D3604C"/>
    <w:rsid w:val="00D369B6"/>
    <w:rsid w:val="00D55067"/>
    <w:rsid w:val="00D56428"/>
    <w:rsid w:val="00D60A6D"/>
    <w:rsid w:val="00D73169"/>
    <w:rsid w:val="00D8442B"/>
    <w:rsid w:val="00D95612"/>
    <w:rsid w:val="00DA3BB1"/>
    <w:rsid w:val="00DA4B3B"/>
    <w:rsid w:val="00DB0843"/>
    <w:rsid w:val="00DB0EB3"/>
    <w:rsid w:val="00DB3F27"/>
    <w:rsid w:val="00DC0719"/>
    <w:rsid w:val="00DD3A5D"/>
    <w:rsid w:val="00DE22AE"/>
    <w:rsid w:val="00DF3237"/>
    <w:rsid w:val="00E02D5D"/>
    <w:rsid w:val="00E14F57"/>
    <w:rsid w:val="00E1603B"/>
    <w:rsid w:val="00E20AA6"/>
    <w:rsid w:val="00E24025"/>
    <w:rsid w:val="00E25AFB"/>
    <w:rsid w:val="00E3697A"/>
    <w:rsid w:val="00E4025D"/>
    <w:rsid w:val="00E57398"/>
    <w:rsid w:val="00E6054E"/>
    <w:rsid w:val="00E61918"/>
    <w:rsid w:val="00E711C0"/>
    <w:rsid w:val="00E7201D"/>
    <w:rsid w:val="00E740D7"/>
    <w:rsid w:val="00E8027F"/>
    <w:rsid w:val="00E84827"/>
    <w:rsid w:val="00E84C1F"/>
    <w:rsid w:val="00E84C87"/>
    <w:rsid w:val="00E92D0A"/>
    <w:rsid w:val="00E92FE5"/>
    <w:rsid w:val="00E936F7"/>
    <w:rsid w:val="00E93CEF"/>
    <w:rsid w:val="00EB26E2"/>
    <w:rsid w:val="00EB56B4"/>
    <w:rsid w:val="00EC32DF"/>
    <w:rsid w:val="00EF48C3"/>
    <w:rsid w:val="00F02E5B"/>
    <w:rsid w:val="00F066D6"/>
    <w:rsid w:val="00F07B16"/>
    <w:rsid w:val="00F14A9E"/>
    <w:rsid w:val="00F22E22"/>
    <w:rsid w:val="00F2453A"/>
    <w:rsid w:val="00F26D74"/>
    <w:rsid w:val="00F30185"/>
    <w:rsid w:val="00F45B7F"/>
    <w:rsid w:val="00F468C4"/>
    <w:rsid w:val="00F47D64"/>
    <w:rsid w:val="00F505F5"/>
    <w:rsid w:val="00F5121F"/>
    <w:rsid w:val="00F53D52"/>
    <w:rsid w:val="00F64B03"/>
    <w:rsid w:val="00F751BE"/>
    <w:rsid w:val="00F76B33"/>
    <w:rsid w:val="00FA7332"/>
    <w:rsid w:val="00FB272E"/>
    <w:rsid w:val="00FB5BD0"/>
    <w:rsid w:val="00FB7021"/>
    <w:rsid w:val="00FC0CBB"/>
    <w:rsid w:val="00FC4BD7"/>
    <w:rsid w:val="00FD337F"/>
    <w:rsid w:val="00FD41C3"/>
    <w:rsid w:val="00FD5BFA"/>
    <w:rsid w:val="00FE00DC"/>
    <w:rsid w:val="00FE2D51"/>
    <w:rsid w:val="00FE4C2D"/>
    <w:rsid w:val="00FE4E78"/>
    <w:rsid w:val="00FE5DCC"/>
    <w:rsid w:val="00FF21CF"/>
    <w:rsid w:val="00FF35BF"/>
    <w:rsid w:val="00FF4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urlat.Ispolkom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E48E-6C60-4995-99EF-11753888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444</TotalTime>
  <Pages>6</Pages>
  <Words>1255</Words>
  <Characters>9953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Венера Шияпова</cp:lastModifiedBy>
  <cp:revision>92</cp:revision>
  <cp:lastPrinted>2021-04-15T13:44:00Z</cp:lastPrinted>
  <dcterms:created xsi:type="dcterms:W3CDTF">2017-08-29T05:42:00Z</dcterms:created>
  <dcterms:modified xsi:type="dcterms:W3CDTF">2021-05-18T12:48:00Z</dcterms:modified>
</cp:coreProperties>
</file>