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85" w:rsidRDefault="00D50885" w:rsidP="00D50885">
      <w:pPr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</w:p>
    <w:p w:rsidR="00605AF2" w:rsidRPr="00D50885" w:rsidRDefault="00D50885" w:rsidP="00D50885">
      <w:pPr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  <w:r w:rsidRPr="00E530A6">
        <w:rPr>
          <w:rFonts w:ascii="Segoe UI Light" w:hAnsi="Segoe UI Light" w:cs="Segoe UI Light"/>
          <w:noProof/>
          <w:sz w:val="32"/>
          <w:szCs w:val="32"/>
          <w:lang w:eastAsia="sk-SK"/>
        </w:rPr>
        <w:t>Пресс-релиз</w:t>
      </w:r>
      <w:r w:rsidR="00605AF2" w:rsidRPr="00E530A6">
        <w:rPr>
          <w:rFonts w:ascii="Segoe UI Light" w:hAnsi="Segoe UI Light" w:cs="Segoe UI Light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CE5776" wp14:editId="12FE39D0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1876425" cy="7715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0885" w:rsidRDefault="00D50885" w:rsidP="009934DE">
      <w:pPr>
        <w:jc w:val="center"/>
      </w:pPr>
    </w:p>
    <w:p w:rsidR="00D50885" w:rsidRDefault="00D50885" w:rsidP="009934DE">
      <w:pPr>
        <w:jc w:val="center"/>
      </w:pPr>
    </w:p>
    <w:p w:rsidR="00D50885" w:rsidRDefault="00D50885" w:rsidP="009934DE">
      <w:pPr>
        <w:jc w:val="center"/>
      </w:pPr>
    </w:p>
    <w:p w:rsidR="00D50885" w:rsidRPr="00D50885" w:rsidRDefault="009934DE" w:rsidP="00D50885">
      <w:pPr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 w:rsidRPr="00D50885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«Гаражной амнистии» – быть!</w:t>
      </w:r>
    </w:p>
    <w:p w:rsidR="006828D8" w:rsidRPr="00D50885" w:rsidRDefault="00031653" w:rsidP="00D50885">
      <w:pPr>
        <w:spacing w:after="200" w:line="276" w:lineRule="auto"/>
        <w:jc w:val="both"/>
        <w:rPr>
          <w:rFonts w:ascii="Segoe UI Light" w:eastAsiaTheme="minorEastAsia" w:hAnsi="Segoe UI Light" w:cs="Segoe UI Light"/>
          <w:lang w:eastAsia="ru-RU"/>
        </w:rPr>
      </w:pPr>
      <w:r w:rsidRPr="00D50885">
        <w:rPr>
          <w:rFonts w:ascii="Segoe UI Light" w:eastAsiaTheme="minorEastAsia" w:hAnsi="Segoe UI Light" w:cs="Segoe UI Light"/>
          <w:lang w:eastAsia="ru-RU"/>
        </w:rPr>
        <w:t>Государственная Дума приняла в третьем, окончательном, чтении законопроект о «гаражной амнистии».</w:t>
      </w:r>
      <w:r w:rsidR="00C82E6F" w:rsidRPr="00D50885">
        <w:rPr>
          <w:rFonts w:ascii="Segoe UI Light" w:eastAsiaTheme="minorEastAsia" w:hAnsi="Segoe UI Light" w:cs="Segoe UI Light"/>
          <w:lang w:eastAsia="ru-RU"/>
        </w:rPr>
        <w:t xml:space="preserve"> </w:t>
      </w:r>
    </w:p>
    <w:p w:rsidR="009934DE" w:rsidRPr="00D50885" w:rsidRDefault="009934DE" w:rsidP="00D50885">
      <w:pPr>
        <w:spacing w:after="200" w:line="276" w:lineRule="auto"/>
        <w:jc w:val="both"/>
        <w:rPr>
          <w:rFonts w:ascii="Segoe UI Light" w:eastAsiaTheme="minorEastAsia" w:hAnsi="Segoe UI Light" w:cs="Segoe UI Light"/>
          <w:lang w:eastAsia="ru-RU"/>
        </w:rPr>
      </w:pPr>
      <w:r w:rsidRPr="00D50885">
        <w:rPr>
          <w:rFonts w:ascii="Segoe UI Light" w:eastAsiaTheme="minorEastAsia" w:hAnsi="Segoe UI Light" w:cs="Segoe UI Light"/>
          <w:lang w:eastAsia="ru-RU"/>
        </w:rPr>
        <w:t>В Госдуме предложили установить срок вступления закона в силу с 1 сентября 2021 года, таким образом, позволив регионам и муниципалитетам подготовиться к разработке законодательной базы по содействию гражданам в оформлении гаражей</w:t>
      </w:r>
      <w:r w:rsidR="00C82E6F" w:rsidRPr="00D50885">
        <w:rPr>
          <w:rFonts w:ascii="Segoe UI Light" w:eastAsiaTheme="minorEastAsia" w:hAnsi="Segoe UI Light" w:cs="Segoe UI Light"/>
          <w:lang w:eastAsia="ru-RU"/>
        </w:rPr>
        <w:t xml:space="preserve"> и земельных участков под ними.</w:t>
      </w:r>
      <w:r w:rsidR="00605AF2" w:rsidRPr="00D50885">
        <w:rPr>
          <w:rFonts w:ascii="Segoe UI Light" w:eastAsiaTheme="minorEastAsia" w:hAnsi="Segoe UI Light" w:cs="Segoe UI Light"/>
          <w:lang w:eastAsia="ru-RU"/>
        </w:rPr>
        <w:t xml:space="preserve"> Действовать упрощенный порядок будет</w:t>
      </w:r>
      <w:r w:rsidR="00605AF2" w:rsidRPr="00D50885">
        <w:rPr>
          <w:rFonts w:ascii="Segoe UI Light" w:eastAsiaTheme="minorEastAsia" w:hAnsi="Segoe UI Light" w:cs="Segoe UI Light"/>
          <w:lang w:eastAsia="ru-RU"/>
        </w:rPr>
        <w:t xml:space="preserve"> 5 лет, то есть до 1 сентября 2026 года.</w:t>
      </w:r>
    </w:p>
    <w:p w:rsidR="006828D8" w:rsidRPr="00D50885" w:rsidRDefault="00C82E6F" w:rsidP="00D50885">
      <w:pPr>
        <w:spacing w:after="200" w:line="276" w:lineRule="auto"/>
        <w:jc w:val="both"/>
        <w:rPr>
          <w:rFonts w:ascii="Segoe UI Light" w:eastAsiaTheme="minorEastAsia" w:hAnsi="Segoe UI Light" w:cs="Segoe UI Light"/>
          <w:lang w:eastAsia="ru-RU"/>
        </w:rPr>
      </w:pPr>
      <w:r w:rsidRPr="00D50885">
        <w:rPr>
          <w:rFonts w:ascii="Segoe UI Light" w:eastAsiaTheme="minorEastAsia" w:hAnsi="Segoe UI Light" w:cs="Segoe UI Light"/>
          <w:i/>
          <w:lang w:eastAsia="ru-RU"/>
        </w:rPr>
        <w:t xml:space="preserve">«В настоящее время граждане испытывают трудности при оформлении своих гаражей и часто вынуждены обращаться в суды. Так в Татарстане, по данным ЕГРН около 50 тысяч объектов недвижимости с назначением гаражи не имеют сведений о правообладателях. Закон о «гаражной амнистии» поможет их владельцам в упрощенном порядке стать полноценными собственниками. В свою очередь, </w:t>
      </w:r>
      <w:proofErr w:type="spellStart"/>
      <w:r w:rsidRPr="00D50885">
        <w:rPr>
          <w:rFonts w:ascii="Segoe UI Light" w:eastAsiaTheme="minorEastAsia" w:hAnsi="Segoe UI Light" w:cs="Segoe UI Light"/>
          <w:i/>
          <w:lang w:eastAsia="ru-RU"/>
        </w:rPr>
        <w:t>Росреестр</w:t>
      </w:r>
      <w:proofErr w:type="spellEnd"/>
      <w:r w:rsidRPr="00D50885">
        <w:rPr>
          <w:rFonts w:ascii="Segoe UI Light" w:eastAsiaTheme="minorEastAsia" w:hAnsi="Segoe UI Light" w:cs="Segoe UI Light"/>
          <w:i/>
          <w:lang w:eastAsia="ru-RU"/>
        </w:rPr>
        <w:t xml:space="preserve"> Татарстана, чтобы у граждан не возникало проблем при оформлении прав на гаражные объекты, готов оказать максимальную поддержку органам исполнительной власти республики, в том числе консультационную и методическую помощь»</w:t>
      </w:r>
      <w:r w:rsidRPr="00D50885">
        <w:rPr>
          <w:rFonts w:ascii="Segoe UI Light" w:eastAsiaTheme="minorEastAsia" w:hAnsi="Segoe UI Light" w:cs="Segoe UI Light"/>
          <w:lang w:eastAsia="ru-RU"/>
        </w:rPr>
        <w:t xml:space="preserve">, </w:t>
      </w:r>
      <w:r w:rsidR="006828D8" w:rsidRPr="00D50885">
        <w:rPr>
          <w:rFonts w:ascii="Segoe UI Light" w:eastAsiaTheme="minorEastAsia" w:hAnsi="Segoe UI Light" w:cs="Segoe UI Light"/>
          <w:lang w:eastAsia="ru-RU"/>
        </w:rPr>
        <w:t xml:space="preserve">- </w:t>
      </w:r>
      <w:r w:rsidR="006828D8" w:rsidRPr="00D50885">
        <w:rPr>
          <w:rFonts w:ascii="Segoe UI Light" w:eastAsiaTheme="minorEastAsia" w:hAnsi="Segoe UI Light" w:cs="Segoe UI Light"/>
          <w:b/>
          <w:lang w:eastAsia="ru-RU"/>
        </w:rPr>
        <w:t>пояснил</w:t>
      </w:r>
      <w:r w:rsidR="00124FCD" w:rsidRPr="00D50885">
        <w:rPr>
          <w:rFonts w:ascii="Segoe UI Light" w:eastAsiaTheme="minorEastAsia" w:hAnsi="Segoe UI Light" w:cs="Segoe UI Light"/>
          <w:b/>
          <w:lang w:eastAsia="ru-RU"/>
        </w:rPr>
        <w:t>а</w:t>
      </w:r>
      <w:r w:rsidR="009934DE" w:rsidRPr="00D50885">
        <w:rPr>
          <w:rFonts w:ascii="Segoe UI Light" w:eastAsiaTheme="minorEastAsia" w:hAnsi="Segoe UI Light" w:cs="Segoe UI Light"/>
          <w:b/>
          <w:lang w:eastAsia="ru-RU"/>
        </w:rPr>
        <w:t xml:space="preserve"> </w:t>
      </w:r>
      <w:r w:rsidRPr="00D50885">
        <w:rPr>
          <w:rFonts w:ascii="Segoe UI Light" w:eastAsiaTheme="minorEastAsia" w:hAnsi="Segoe UI Light" w:cs="Segoe UI Light"/>
          <w:b/>
          <w:lang w:eastAsia="ru-RU"/>
        </w:rPr>
        <w:t xml:space="preserve">заместитель руководителя Управления </w:t>
      </w:r>
      <w:proofErr w:type="spellStart"/>
      <w:r w:rsidRPr="00D50885">
        <w:rPr>
          <w:rFonts w:ascii="Segoe UI Light" w:eastAsiaTheme="minorEastAsia" w:hAnsi="Segoe UI Light" w:cs="Segoe UI Light"/>
          <w:b/>
          <w:lang w:eastAsia="ru-RU"/>
        </w:rPr>
        <w:t>Росреестра</w:t>
      </w:r>
      <w:proofErr w:type="spellEnd"/>
      <w:r w:rsidRPr="00D50885">
        <w:rPr>
          <w:rFonts w:ascii="Segoe UI Light" w:eastAsiaTheme="minorEastAsia" w:hAnsi="Segoe UI Light" w:cs="Segoe UI Light"/>
          <w:b/>
          <w:lang w:eastAsia="ru-RU"/>
        </w:rPr>
        <w:t xml:space="preserve"> по Республике Татарстан Лилия </w:t>
      </w:r>
      <w:proofErr w:type="spellStart"/>
      <w:r w:rsidRPr="00D50885">
        <w:rPr>
          <w:rFonts w:ascii="Segoe UI Light" w:eastAsiaTheme="minorEastAsia" w:hAnsi="Segoe UI Light" w:cs="Segoe UI Light"/>
          <w:b/>
          <w:lang w:eastAsia="ru-RU"/>
        </w:rPr>
        <w:t>Бурганова</w:t>
      </w:r>
      <w:proofErr w:type="spellEnd"/>
      <w:r w:rsidRPr="00D50885">
        <w:rPr>
          <w:rFonts w:ascii="Segoe UI Light" w:eastAsiaTheme="minorEastAsia" w:hAnsi="Segoe UI Light" w:cs="Segoe UI Light"/>
          <w:lang w:eastAsia="ru-RU"/>
        </w:rPr>
        <w:t>.</w:t>
      </w:r>
    </w:p>
    <w:p w:rsidR="00031653" w:rsidRDefault="00031653" w:rsidP="00D50885">
      <w:pPr>
        <w:spacing w:after="200" w:line="276" w:lineRule="auto"/>
        <w:jc w:val="both"/>
        <w:rPr>
          <w:rFonts w:ascii="Segoe UI Light" w:eastAsiaTheme="minorEastAsia" w:hAnsi="Segoe UI Light" w:cs="Segoe UI Light"/>
          <w:lang w:eastAsia="ru-RU"/>
        </w:rPr>
      </w:pPr>
    </w:p>
    <w:p w:rsidR="00D50885" w:rsidRDefault="00D50885" w:rsidP="00D50885">
      <w:pPr>
        <w:pStyle w:val="a5"/>
        <w:spacing w:before="120" w:after="120"/>
        <w:ind w:left="0"/>
        <w:contextualSpacing w:val="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D50885" w:rsidRDefault="00D50885" w:rsidP="00D50885">
      <w:pPr>
        <w:pStyle w:val="a5"/>
        <w:spacing w:before="120" w:after="120"/>
        <w:ind w:left="0"/>
        <w:contextualSpacing w:val="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D50885" w:rsidRDefault="00D50885" w:rsidP="00D50885">
      <w:pPr>
        <w:pStyle w:val="a5"/>
        <w:spacing w:before="120" w:after="120"/>
        <w:ind w:left="0"/>
        <w:contextualSpacing w:val="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D50885" w:rsidRDefault="00D50885" w:rsidP="00D50885">
      <w:pPr>
        <w:pStyle w:val="a5"/>
        <w:spacing w:before="120" w:after="120"/>
        <w:ind w:left="0"/>
        <w:contextualSpacing w:val="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D50885" w:rsidRDefault="00D50885" w:rsidP="00D50885">
      <w:pPr>
        <w:pStyle w:val="a5"/>
        <w:spacing w:before="120" w:after="120"/>
        <w:ind w:left="0"/>
        <w:contextualSpacing w:val="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D50885" w:rsidRDefault="00D50885" w:rsidP="00D50885">
      <w:pPr>
        <w:pStyle w:val="a5"/>
        <w:spacing w:before="120" w:after="120"/>
        <w:ind w:left="0"/>
        <w:contextualSpacing w:val="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D50885" w:rsidRDefault="00D50885" w:rsidP="00D50885">
      <w:pPr>
        <w:pStyle w:val="a5"/>
        <w:spacing w:before="120" w:after="120"/>
        <w:ind w:left="0"/>
        <w:contextualSpacing w:val="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D50885" w:rsidRDefault="00D50885" w:rsidP="00D50885">
      <w:pPr>
        <w:pStyle w:val="a5"/>
        <w:spacing w:before="120" w:after="120"/>
        <w:ind w:left="0"/>
        <w:contextualSpacing w:val="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  <w:bookmarkStart w:id="0" w:name="_GoBack"/>
      <w:bookmarkEnd w:id="0"/>
    </w:p>
    <w:p w:rsidR="00D50885" w:rsidRDefault="00D50885" w:rsidP="00D50885">
      <w:pPr>
        <w:pStyle w:val="a5"/>
        <w:spacing w:before="120" w:after="120"/>
        <w:ind w:left="0"/>
        <w:contextualSpacing w:val="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D50885" w:rsidRPr="00E530A6" w:rsidRDefault="00D50885" w:rsidP="00D50885">
      <w:pPr>
        <w:pStyle w:val="a5"/>
        <w:spacing w:before="120" w:after="120"/>
        <w:ind w:left="0"/>
        <w:contextualSpacing w:val="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  <w:r w:rsidRPr="00E530A6"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D50885" w:rsidRPr="00E530A6" w:rsidRDefault="00D50885" w:rsidP="00D50885">
      <w:pPr>
        <w:rPr>
          <w:rFonts w:ascii="Segoe UI Light" w:hAnsi="Segoe UI Light" w:cs="Segoe UI Light"/>
          <w:kern w:val="2"/>
          <w:sz w:val="20"/>
          <w:szCs w:val="20"/>
        </w:rPr>
      </w:pPr>
      <w:r w:rsidRPr="00E530A6">
        <w:rPr>
          <w:rFonts w:ascii="Segoe UI Light" w:hAnsi="Segoe UI Light" w:cs="Segoe UI Light"/>
          <w:kern w:val="2"/>
          <w:sz w:val="20"/>
          <w:szCs w:val="20"/>
        </w:rPr>
        <w:t xml:space="preserve">Пресс-служба </w:t>
      </w:r>
      <w:proofErr w:type="spellStart"/>
      <w:r w:rsidRPr="00E530A6">
        <w:rPr>
          <w:rFonts w:ascii="Segoe UI Light" w:hAnsi="Segoe UI Light" w:cs="Segoe UI Light"/>
          <w:kern w:val="2"/>
          <w:sz w:val="20"/>
          <w:szCs w:val="20"/>
        </w:rPr>
        <w:t>Росреестра</w:t>
      </w:r>
      <w:proofErr w:type="spellEnd"/>
      <w:r w:rsidRPr="00E530A6">
        <w:rPr>
          <w:rFonts w:ascii="Segoe UI Light" w:hAnsi="Segoe UI Light" w:cs="Segoe UI Light"/>
          <w:kern w:val="2"/>
          <w:sz w:val="20"/>
          <w:szCs w:val="20"/>
        </w:rPr>
        <w:t xml:space="preserve"> Татарстана</w:t>
      </w:r>
    </w:p>
    <w:p w:rsidR="00D50885" w:rsidRPr="00E530A6" w:rsidRDefault="00D50885" w:rsidP="00D50885">
      <w:pPr>
        <w:rPr>
          <w:rFonts w:ascii="Segoe UI Light" w:hAnsi="Segoe UI Light" w:cs="Segoe UI Light"/>
        </w:rPr>
      </w:pPr>
      <w:r w:rsidRPr="00E530A6">
        <w:rPr>
          <w:rFonts w:ascii="Segoe UI Light" w:hAnsi="Segoe UI Light" w:cs="Segoe UI Light"/>
          <w:sz w:val="20"/>
          <w:szCs w:val="20"/>
        </w:rPr>
        <w:t>+8 843 255 25 10</w:t>
      </w:r>
    </w:p>
    <w:p w:rsidR="00D50885" w:rsidRPr="00D50885" w:rsidRDefault="00D50885" w:rsidP="00D50885">
      <w:pPr>
        <w:spacing w:after="200" w:line="276" w:lineRule="auto"/>
        <w:jc w:val="both"/>
        <w:rPr>
          <w:rFonts w:ascii="Segoe UI Light" w:eastAsiaTheme="minorEastAsia" w:hAnsi="Segoe UI Light" w:cs="Segoe UI Light"/>
          <w:lang w:eastAsia="ru-RU"/>
        </w:rPr>
      </w:pPr>
    </w:p>
    <w:sectPr w:rsidR="00D50885" w:rsidRPr="00D5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53"/>
    <w:rsid w:val="00031653"/>
    <w:rsid w:val="00124FCD"/>
    <w:rsid w:val="002752F5"/>
    <w:rsid w:val="00321E6E"/>
    <w:rsid w:val="00605AF2"/>
    <w:rsid w:val="006164DF"/>
    <w:rsid w:val="00625EA9"/>
    <w:rsid w:val="006828D8"/>
    <w:rsid w:val="007A7819"/>
    <w:rsid w:val="008C496A"/>
    <w:rsid w:val="009934DE"/>
    <w:rsid w:val="00A063FF"/>
    <w:rsid w:val="00A5151C"/>
    <w:rsid w:val="00B93E67"/>
    <w:rsid w:val="00C82E6F"/>
    <w:rsid w:val="00D309EB"/>
    <w:rsid w:val="00D50885"/>
    <w:rsid w:val="00F1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8CF1"/>
  <w15:chartTrackingRefBased/>
  <w15:docId w15:val="{7CA562EC-8F3D-4221-9F15-DD6FDE62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8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08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Фролова Карина Радиевна</cp:lastModifiedBy>
  <cp:revision>1</cp:revision>
  <cp:lastPrinted>2021-03-24T11:50:00Z</cp:lastPrinted>
  <dcterms:created xsi:type="dcterms:W3CDTF">2021-03-24T07:36:00Z</dcterms:created>
  <dcterms:modified xsi:type="dcterms:W3CDTF">2021-03-24T12:36:00Z</dcterms:modified>
</cp:coreProperties>
</file>