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75" w:rsidRDefault="00C65B75" w:rsidP="00254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Оперативная информация (возможны изменения) </w:t>
      </w:r>
    </w:p>
    <w:p w:rsidR="00254183" w:rsidRPr="00A265FB" w:rsidRDefault="00254183" w:rsidP="00254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265F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Новые сроки сдачи отчетности и уплаты налогов: перенос сроков в 2020 из-за </w:t>
      </w:r>
      <w:proofErr w:type="spellStart"/>
      <w:r w:rsidRPr="00A265F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коронавируса</w:t>
      </w:r>
      <w:proofErr w:type="spellEnd"/>
    </w:p>
    <w:p w:rsidR="00254183" w:rsidRPr="00254183" w:rsidRDefault="00254183" w:rsidP="00254183">
      <w:r w:rsidRPr="00254183">
        <w:t xml:space="preserve">Правительство утвердило отсрочки по уплате налогов и сдачи отчетности в связи с эпидемией </w:t>
      </w:r>
      <w:proofErr w:type="spellStart"/>
      <w:r w:rsidRPr="00254183">
        <w:t>коронавируса</w:t>
      </w:r>
      <w:proofErr w:type="spellEnd"/>
      <w:r w:rsidRPr="00254183">
        <w:t xml:space="preserve">. Постановление от 02.04.2020 </w:t>
      </w:r>
      <w:hyperlink r:id="rId6" w:tgtFrame="_blank" w:history="1">
        <w:r w:rsidRPr="00254183">
          <w:rPr>
            <w:rStyle w:val="a3"/>
          </w:rPr>
          <w:t>№ 409</w:t>
        </w:r>
      </w:hyperlink>
      <w:r w:rsidRPr="00254183">
        <w:t xml:space="preserve"> было опубликовано в понедельник, 6 апреля.</w:t>
      </w:r>
    </w:p>
    <w:p w:rsidR="00254183" w:rsidRPr="00C65B75" w:rsidRDefault="00254183" w:rsidP="00254183">
      <w:pPr>
        <w:rPr>
          <w:color w:val="FF0000"/>
        </w:rPr>
      </w:pPr>
      <w:r w:rsidRPr="00C65B75">
        <w:rPr>
          <w:color w:val="FF0000"/>
        </w:rPr>
        <w:t>Обратите внимание, что перенос сдачи декларации не означает автоматически перенос уплаты налога, даже если срок уплаты привязан к сроку сдачи отчета. Об этом прямо написано в постановлении.</w:t>
      </w:r>
    </w:p>
    <w:p w:rsidR="00254183" w:rsidRPr="00254183" w:rsidRDefault="00254183" w:rsidP="00254183">
      <w:pPr>
        <w:rPr>
          <w:b/>
          <w:bCs/>
        </w:rPr>
      </w:pPr>
      <w:r w:rsidRPr="00254183">
        <w:rPr>
          <w:b/>
          <w:bCs/>
        </w:rPr>
        <w:t>Что продлили по отчетам</w:t>
      </w:r>
    </w:p>
    <w:p w:rsidR="00254183" w:rsidRPr="00254183" w:rsidRDefault="00254183" w:rsidP="00254183">
      <w:pPr>
        <w:numPr>
          <w:ilvl w:val="0"/>
          <w:numId w:val="1"/>
        </w:numPr>
      </w:pPr>
      <w:r w:rsidRPr="00254183">
        <w:t>Срок сдачи всей налоговой и бухгалтерской отчетности, срок сдачи которой приходится на март-май на три месяца. Кроме НДС.</w:t>
      </w:r>
    </w:p>
    <w:p w:rsidR="00254183" w:rsidRPr="00254183" w:rsidRDefault="00254183" w:rsidP="00254183">
      <w:pPr>
        <w:numPr>
          <w:ilvl w:val="0"/>
          <w:numId w:val="1"/>
        </w:numPr>
      </w:pPr>
      <w:r w:rsidRPr="00254183">
        <w:t>Отчетность по НДС за 1 квартал до 15 мая.</w:t>
      </w:r>
    </w:p>
    <w:p w:rsidR="00254183" w:rsidRPr="00254183" w:rsidRDefault="00254183" w:rsidP="00254183">
      <w:pPr>
        <w:numPr>
          <w:ilvl w:val="0"/>
          <w:numId w:val="1"/>
        </w:numPr>
      </w:pPr>
      <w:r w:rsidRPr="00254183">
        <w:t>Срок сдачи расчетов по страховым взносам до 15 мая.</w:t>
      </w:r>
    </w:p>
    <w:p w:rsidR="00254183" w:rsidRPr="00254183" w:rsidRDefault="00254183" w:rsidP="00254183">
      <w:r w:rsidRPr="00254183">
        <w:t>Сроки по сдаче отчетности перенесены для всех организаций и ИП, вне зависимости от видов деятельности, перечней и реестров МСП. И для граждан тоже (3-НДФЛ).</w:t>
      </w:r>
    </w:p>
    <w:p w:rsidR="00254183" w:rsidRPr="00254183" w:rsidRDefault="00254183" w:rsidP="00254183">
      <w:pPr>
        <w:rPr>
          <w:b/>
          <w:bCs/>
        </w:rPr>
      </w:pPr>
      <w:r w:rsidRPr="00254183">
        <w:rPr>
          <w:b/>
          <w:bCs/>
        </w:rPr>
        <w:t>Новые сроки сдачи отчетности в 2020 году</w:t>
      </w:r>
    </w:p>
    <w:tbl>
      <w:tblPr>
        <w:tblW w:w="73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5"/>
        <w:gridCol w:w="2000"/>
      </w:tblGrid>
      <w:tr w:rsidR="00254183" w:rsidRPr="00254183" w:rsidTr="00A265FB">
        <w:trPr>
          <w:trHeight w:val="570"/>
          <w:tblCellSpacing w:w="0" w:type="dxa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rPr>
                <w:b/>
                <w:bCs/>
              </w:rPr>
              <w:t>Вид отчетности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rPr>
                <w:b/>
                <w:bCs/>
              </w:rPr>
              <w:t>Последний день сдачи отчета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Бухгалтерская отчетность за 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30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29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1 квартал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28 июля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март 2020 года (при ежемесячной уплате)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28 июля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апрель 2020 года (при ежемесячной уплате)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28 августа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май 2020 года (при ежемесячной уплате)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28 сентября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имущество за 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30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Налог на имущество за 1 квартал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31 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НДС за 1 квартал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15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Расчет по страховым взносам за 1 квартал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15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lastRenderedPageBreak/>
              <w:t>6-НДФЛ за 1 квартал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31 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УСН за 2019 год (организации)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30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УСН за 2019 год (ИП)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31 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ЕНВД за 1 квартал 2020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20 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3-НДФЛ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31 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4-ФСС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83" w:rsidRPr="00254183" w:rsidRDefault="00254183" w:rsidP="00254183">
            <w:r w:rsidRPr="00254183">
              <w:t>15 мая</w:t>
            </w:r>
          </w:p>
        </w:tc>
      </w:tr>
    </w:tbl>
    <w:p w:rsidR="00C65B75" w:rsidRDefault="00C65B75" w:rsidP="00254183">
      <w:pPr>
        <w:rPr>
          <w:b/>
          <w:bCs/>
        </w:rPr>
      </w:pPr>
    </w:p>
    <w:p w:rsidR="00254183" w:rsidRPr="00254183" w:rsidRDefault="00254183" w:rsidP="00254183">
      <w:pPr>
        <w:rPr>
          <w:b/>
          <w:bCs/>
        </w:rPr>
      </w:pPr>
      <w:r w:rsidRPr="00254183">
        <w:rPr>
          <w:b/>
          <w:bCs/>
        </w:rPr>
        <w:t xml:space="preserve">Перенос </w:t>
      </w:r>
      <w:r w:rsidRPr="00C65B75">
        <w:rPr>
          <w:b/>
          <w:bCs/>
          <w:sz w:val="24"/>
          <w:szCs w:val="24"/>
        </w:rPr>
        <w:t>сроков уплаты</w:t>
      </w:r>
      <w:r w:rsidRPr="00254183">
        <w:rPr>
          <w:b/>
          <w:bCs/>
        </w:rPr>
        <w:t xml:space="preserve"> налогов</w:t>
      </w:r>
    </w:p>
    <w:p w:rsidR="00254183" w:rsidRPr="00254183" w:rsidRDefault="00254183" w:rsidP="00254183">
      <w:r w:rsidRPr="00254183">
        <w:t xml:space="preserve">Отсрочки по оплате налогов будут предоставляться </w:t>
      </w:r>
      <w:r w:rsidRPr="00C65B75">
        <w:rPr>
          <w:b/>
        </w:rPr>
        <w:t>не всем</w:t>
      </w:r>
      <w:r w:rsidRPr="00254183">
        <w:t xml:space="preserve"> организациям и ИП, </w:t>
      </w:r>
      <w:r w:rsidRPr="00C65B75">
        <w:rPr>
          <w:b/>
        </w:rPr>
        <w:t>а только включенным в реестр малого и среднего предпринимательства и ведущим деятельность, попавшую в перечень правительства (наиболее пострадавшие отрасли</w:t>
      </w:r>
      <w:r w:rsidRPr="00254183">
        <w:t>).</w:t>
      </w:r>
    </w:p>
    <w:p w:rsidR="00254183" w:rsidRPr="00254183" w:rsidRDefault="00254183" w:rsidP="00254183">
      <w:r w:rsidRPr="00254183">
        <w:t>В отдельную графу выделены организации, указанные в пункте 2 </w:t>
      </w:r>
      <w:hyperlink r:id="rId7" w:tgtFrame="_blank" w:history="1">
        <w:r w:rsidRPr="00254183">
          <w:rPr>
            <w:rStyle w:val="a3"/>
          </w:rPr>
          <w:t>Указа Президента</w:t>
        </w:r>
      </w:hyperlink>
      <w:r w:rsidRPr="00254183">
        <w:t xml:space="preserve">, обязанные работать в нерабочие дни. </w:t>
      </w:r>
      <w:hyperlink r:id="rId8" w:history="1">
        <w:r w:rsidRPr="00254183">
          <w:rPr>
            <w:rStyle w:val="a3"/>
          </w:rPr>
          <w:t>По мнению ФНС</w:t>
        </w:r>
      </w:hyperlink>
      <w:r w:rsidRPr="00254183">
        <w:t>, они обязаны сдавать отчетность в обычные сроки, потому что у этих организаций рабочие дни.</w:t>
      </w:r>
    </w:p>
    <w:tbl>
      <w:tblPr>
        <w:tblW w:w="98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1715"/>
        <w:gridCol w:w="2374"/>
        <w:gridCol w:w="2374"/>
      </w:tblGrid>
      <w:tr w:rsidR="00254183" w:rsidRPr="00254183" w:rsidTr="00A265FB">
        <w:trPr>
          <w:trHeight w:val="2190"/>
          <w:tblCellSpacing w:w="0" w:type="dxa"/>
        </w:trPr>
        <w:tc>
          <w:tcPr>
            <w:tcW w:w="4125" w:type="dxa"/>
            <w:vAlign w:val="center"/>
            <w:hideMark/>
          </w:tcPr>
          <w:p w:rsidR="00254183" w:rsidRPr="00254183" w:rsidRDefault="00254183" w:rsidP="00254183">
            <w:r w:rsidRPr="00254183">
              <w:rPr>
                <w:b/>
                <w:bCs/>
              </w:rPr>
              <w:t>Название отчетности</w:t>
            </w:r>
          </w:p>
        </w:tc>
        <w:tc>
          <w:tcPr>
            <w:tcW w:w="1935" w:type="dxa"/>
            <w:vAlign w:val="center"/>
            <w:hideMark/>
          </w:tcPr>
          <w:p w:rsidR="00254183" w:rsidRPr="00254183" w:rsidRDefault="00254183" w:rsidP="00254183">
            <w:r w:rsidRPr="00254183">
              <w:rPr>
                <w:b/>
                <w:bCs/>
              </w:rPr>
              <w:t>Организации и ИП — субъекты МСП из перечня пострадавших отраслей</w:t>
            </w:r>
          </w:p>
        </w:tc>
        <w:tc>
          <w:tcPr>
            <w:tcW w:w="1935" w:type="dxa"/>
            <w:vAlign w:val="center"/>
            <w:hideMark/>
          </w:tcPr>
          <w:p w:rsidR="00254183" w:rsidRPr="00254183" w:rsidRDefault="00254183" w:rsidP="00254183">
            <w:proofErr w:type="gramStart"/>
            <w:r w:rsidRPr="00254183">
              <w:rPr>
                <w:b/>
                <w:bCs/>
              </w:rPr>
              <w:t>Работающие в нерабочие дни по Указу Президента и не попавшие в перечень пострадавших отраслей</w:t>
            </w:r>
            <w:proofErr w:type="gramEnd"/>
          </w:p>
        </w:tc>
        <w:tc>
          <w:tcPr>
            <w:tcW w:w="1815" w:type="dxa"/>
            <w:vAlign w:val="center"/>
            <w:hideMark/>
          </w:tcPr>
          <w:p w:rsidR="00254183" w:rsidRPr="00254183" w:rsidRDefault="00254183" w:rsidP="00254183">
            <w:r w:rsidRPr="00254183">
              <w:rPr>
                <w:b/>
                <w:bCs/>
              </w:rPr>
              <w:t>Остальные организации и ИП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4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2019 год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сентября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марта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1 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апреля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март 2020 года (при ежемесячной уплате)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апреля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апрель 2020 года (при ежемесячной уплате)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сентября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мая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мая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прибыль за май 2020 года (при ежемесячной уплате)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28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29 июня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29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имущество за 2019 год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марта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Налог на имущество за 1 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апреля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lastRenderedPageBreak/>
              <w:t>Налог на имущество за 2 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 декабря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 июля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 июля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Транспортный и земельный налоги за 1 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 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В сроки, установленные региональным и местными законами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В сроки, установленные региональным и местными законами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Транспортный и земельный налоги за 2 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 декабря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В сроки, установленные региональным и местными законами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В сроки, установленные региональным и местными законами</w:t>
            </w:r>
          </w:p>
        </w:tc>
      </w:tr>
      <w:tr w:rsidR="00254183" w:rsidRPr="00254183" w:rsidTr="00A265FB">
        <w:trPr>
          <w:trHeight w:val="100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НДС за 1 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1/3 — 6 мая</w:t>
            </w:r>
          </w:p>
          <w:p w:rsidR="00254183" w:rsidRPr="00254183" w:rsidRDefault="00254183" w:rsidP="00254183">
            <w:r w:rsidRPr="00254183">
              <w:t>1/3 25 мая</w:t>
            </w:r>
          </w:p>
          <w:p w:rsidR="007E43B8" w:rsidRPr="00254183" w:rsidRDefault="00254183" w:rsidP="00254183">
            <w:r w:rsidRPr="00254183">
              <w:t>1/3 25 июня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1/3 — 27 апреля</w:t>
            </w:r>
          </w:p>
          <w:p w:rsidR="00254183" w:rsidRPr="00254183" w:rsidRDefault="00254183" w:rsidP="00254183">
            <w:r w:rsidRPr="00254183">
              <w:t>1/3 25 мая</w:t>
            </w:r>
          </w:p>
          <w:p w:rsidR="007E43B8" w:rsidRPr="00254183" w:rsidRDefault="00254183" w:rsidP="00254183">
            <w:r w:rsidRPr="00254183">
              <w:t>1/3 25 июня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1/3 — 6 мая</w:t>
            </w:r>
          </w:p>
          <w:p w:rsidR="00254183" w:rsidRPr="00254183" w:rsidRDefault="00254183" w:rsidP="00254183">
            <w:r w:rsidRPr="00254183">
              <w:t>1/3 25 мая</w:t>
            </w:r>
          </w:p>
          <w:p w:rsidR="007E43B8" w:rsidRPr="00254183" w:rsidRDefault="00254183" w:rsidP="00254183">
            <w:r w:rsidRPr="00254183">
              <w:t>1/3 25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Страховые взносы за март 2020 года, в </w:t>
            </w:r>
            <w:proofErr w:type="spellStart"/>
            <w:r w:rsidRPr="00254183">
              <w:t>т</w:t>
            </w:r>
            <w:proofErr w:type="gramStart"/>
            <w:r w:rsidRPr="00254183">
              <w:t>.ч</w:t>
            </w:r>
            <w:proofErr w:type="spellEnd"/>
            <w:proofErr w:type="gramEnd"/>
            <w:r w:rsidRPr="00254183">
              <w:t xml:space="preserve"> в по </w:t>
            </w:r>
            <w:proofErr w:type="spellStart"/>
            <w:r w:rsidRPr="00254183">
              <w:t>призводственному</w:t>
            </w:r>
            <w:proofErr w:type="spellEnd"/>
            <w:r w:rsidRPr="00254183">
              <w:t xml:space="preserve"> травматизму</w:t>
            </w:r>
          </w:p>
        </w:tc>
        <w:tc>
          <w:tcPr>
            <w:tcW w:w="0" w:type="auto"/>
            <w:vAlign w:val="center"/>
            <w:hideMark/>
          </w:tcPr>
          <w:p w:rsidR="00254183" w:rsidRDefault="00254183" w:rsidP="00254183">
            <w:pPr>
              <w:rPr>
                <w:b/>
                <w:color w:val="FF0000"/>
                <w:vertAlign w:val="superscript"/>
              </w:rPr>
            </w:pPr>
            <w:r w:rsidRPr="00254183">
              <w:t>15 октября</w:t>
            </w:r>
            <w:proofErr w:type="gramStart"/>
            <w:r w:rsidRPr="00A265FB">
              <w:rPr>
                <w:b/>
                <w:color w:val="FF0000"/>
                <w:vertAlign w:val="superscript"/>
              </w:rPr>
              <w:t>1</w:t>
            </w:r>
            <w:proofErr w:type="gramEnd"/>
          </w:p>
          <w:p w:rsidR="00A265FB" w:rsidRPr="00254183" w:rsidRDefault="00A265FB" w:rsidP="00254183">
            <w:r>
              <w:rPr>
                <w:b/>
                <w:color w:val="FF0000"/>
                <w:vertAlign w:val="superscript"/>
              </w:rPr>
              <w:t xml:space="preserve">(только для </w:t>
            </w:r>
            <w:proofErr w:type="spellStart"/>
            <w:r>
              <w:rPr>
                <w:b/>
                <w:color w:val="FF0000"/>
                <w:vertAlign w:val="superscript"/>
              </w:rPr>
              <w:t>микропредпр</w:t>
            </w:r>
            <w:proofErr w:type="spellEnd"/>
            <w:r>
              <w:rPr>
                <w:b/>
                <w:color w:val="FF0000"/>
                <w:vertAlign w:val="superscript"/>
              </w:rPr>
              <w:t xml:space="preserve"> СМП)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апреля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Страховые взносы за апрель 2020 года в </w:t>
            </w:r>
            <w:proofErr w:type="spellStart"/>
            <w:r w:rsidRPr="00254183">
              <w:t>т</w:t>
            </w:r>
            <w:proofErr w:type="gramStart"/>
            <w:r w:rsidRPr="00254183">
              <w:t>.ч</w:t>
            </w:r>
            <w:proofErr w:type="spellEnd"/>
            <w:proofErr w:type="gramEnd"/>
            <w:r w:rsidRPr="00254183">
              <w:t xml:space="preserve"> в по </w:t>
            </w:r>
            <w:proofErr w:type="spellStart"/>
            <w:r w:rsidRPr="00254183">
              <w:t>призводственному</w:t>
            </w:r>
            <w:proofErr w:type="spellEnd"/>
            <w:r w:rsidRPr="00254183">
              <w:t xml:space="preserve"> травматизму</w:t>
            </w:r>
          </w:p>
        </w:tc>
        <w:tc>
          <w:tcPr>
            <w:tcW w:w="0" w:type="auto"/>
            <w:vAlign w:val="center"/>
            <w:hideMark/>
          </w:tcPr>
          <w:p w:rsidR="00254183" w:rsidRDefault="00254183" w:rsidP="00254183">
            <w:pPr>
              <w:rPr>
                <w:b/>
                <w:color w:val="FF0000"/>
                <w:vertAlign w:val="superscript"/>
              </w:rPr>
            </w:pPr>
            <w:r w:rsidRPr="00254183">
              <w:t>16 ноября</w:t>
            </w:r>
            <w:proofErr w:type="gramStart"/>
            <w:r w:rsidRPr="00A265FB">
              <w:rPr>
                <w:b/>
                <w:color w:val="FF0000"/>
                <w:vertAlign w:val="superscript"/>
              </w:rPr>
              <w:t>1</w:t>
            </w:r>
            <w:proofErr w:type="gramEnd"/>
          </w:p>
          <w:p w:rsidR="00A265FB" w:rsidRPr="00254183" w:rsidRDefault="00A265FB" w:rsidP="00254183">
            <w:r>
              <w:rPr>
                <w:b/>
                <w:color w:val="FF0000"/>
                <w:vertAlign w:val="superscript"/>
              </w:rPr>
              <w:t xml:space="preserve">(только для </w:t>
            </w:r>
            <w:proofErr w:type="spellStart"/>
            <w:r>
              <w:rPr>
                <w:b/>
                <w:color w:val="FF0000"/>
                <w:vertAlign w:val="superscript"/>
              </w:rPr>
              <w:t>микропредпр</w:t>
            </w:r>
            <w:proofErr w:type="spellEnd"/>
            <w:r>
              <w:rPr>
                <w:b/>
                <w:color w:val="FF0000"/>
                <w:vertAlign w:val="superscript"/>
              </w:rPr>
              <w:t xml:space="preserve"> СМП)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мая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Страховые взносы за май 2020 года в </w:t>
            </w:r>
            <w:proofErr w:type="spellStart"/>
            <w:r w:rsidRPr="00254183">
              <w:t>т</w:t>
            </w:r>
            <w:proofErr w:type="gramStart"/>
            <w:r w:rsidRPr="00254183">
              <w:t>.ч</w:t>
            </w:r>
            <w:proofErr w:type="spellEnd"/>
            <w:proofErr w:type="gramEnd"/>
            <w:r w:rsidRPr="00254183">
              <w:t xml:space="preserve"> в по </w:t>
            </w:r>
            <w:proofErr w:type="spellStart"/>
            <w:r w:rsidRPr="00254183">
              <w:t>призводственному</w:t>
            </w:r>
            <w:proofErr w:type="spellEnd"/>
            <w:r w:rsidRPr="00254183">
              <w:t xml:space="preserve"> травматизму</w:t>
            </w:r>
          </w:p>
        </w:tc>
        <w:tc>
          <w:tcPr>
            <w:tcW w:w="0" w:type="auto"/>
            <w:vAlign w:val="center"/>
            <w:hideMark/>
          </w:tcPr>
          <w:p w:rsidR="00254183" w:rsidRDefault="00254183" w:rsidP="00254183">
            <w:pPr>
              <w:rPr>
                <w:b/>
                <w:color w:val="FF0000"/>
                <w:vertAlign w:val="superscript"/>
              </w:rPr>
            </w:pPr>
            <w:r w:rsidRPr="00254183">
              <w:t>15 декабря</w:t>
            </w:r>
            <w:proofErr w:type="gramStart"/>
            <w:r w:rsidRPr="00A265FB">
              <w:rPr>
                <w:b/>
                <w:color w:val="FF0000"/>
                <w:vertAlign w:val="superscript"/>
              </w:rPr>
              <w:t>1</w:t>
            </w:r>
            <w:proofErr w:type="gramEnd"/>
          </w:p>
          <w:p w:rsidR="00A265FB" w:rsidRPr="00254183" w:rsidRDefault="00A265FB" w:rsidP="00254183">
            <w:r>
              <w:rPr>
                <w:b/>
                <w:color w:val="FF0000"/>
                <w:vertAlign w:val="superscript"/>
              </w:rPr>
              <w:t xml:space="preserve">(только для </w:t>
            </w:r>
            <w:proofErr w:type="spellStart"/>
            <w:r>
              <w:rPr>
                <w:b/>
                <w:color w:val="FF0000"/>
                <w:vertAlign w:val="superscript"/>
              </w:rPr>
              <w:t>микропредпр</w:t>
            </w:r>
            <w:proofErr w:type="spellEnd"/>
            <w:r>
              <w:rPr>
                <w:b/>
                <w:color w:val="FF0000"/>
                <w:vertAlign w:val="superscript"/>
              </w:rPr>
              <w:t xml:space="preserve"> СМП)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июня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июня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Страховые взносы за июнь 2020 года в </w:t>
            </w:r>
            <w:proofErr w:type="spellStart"/>
            <w:r w:rsidRPr="00254183">
              <w:t>т</w:t>
            </w:r>
            <w:proofErr w:type="gramStart"/>
            <w:r w:rsidRPr="00254183">
              <w:t>.ч</w:t>
            </w:r>
            <w:proofErr w:type="spellEnd"/>
            <w:proofErr w:type="gramEnd"/>
            <w:r w:rsidRPr="00254183">
              <w:t xml:space="preserve"> в по </w:t>
            </w:r>
            <w:proofErr w:type="spellStart"/>
            <w:r w:rsidRPr="00254183">
              <w:t>призводственному</w:t>
            </w:r>
            <w:proofErr w:type="spellEnd"/>
            <w:r w:rsidRPr="00254183">
              <w:t xml:space="preserve"> травматизму</w:t>
            </w:r>
          </w:p>
        </w:tc>
        <w:tc>
          <w:tcPr>
            <w:tcW w:w="0" w:type="auto"/>
            <w:vAlign w:val="center"/>
            <w:hideMark/>
          </w:tcPr>
          <w:p w:rsidR="00254183" w:rsidRDefault="00254183" w:rsidP="00254183">
            <w:pPr>
              <w:rPr>
                <w:b/>
                <w:color w:val="FF0000"/>
                <w:vertAlign w:val="superscript"/>
              </w:rPr>
            </w:pPr>
            <w:r w:rsidRPr="00254183">
              <w:t>16 ноября</w:t>
            </w:r>
            <w:proofErr w:type="gramStart"/>
            <w:r w:rsidRPr="00A265FB">
              <w:rPr>
                <w:b/>
                <w:color w:val="FF0000"/>
                <w:vertAlign w:val="superscript"/>
              </w:rPr>
              <w:t>1</w:t>
            </w:r>
            <w:proofErr w:type="gramEnd"/>
          </w:p>
          <w:p w:rsidR="00A265FB" w:rsidRPr="00254183" w:rsidRDefault="00A265FB" w:rsidP="00254183">
            <w:r>
              <w:rPr>
                <w:b/>
                <w:color w:val="FF0000"/>
                <w:vertAlign w:val="superscript"/>
              </w:rPr>
              <w:t xml:space="preserve">(только для </w:t>
            </w:r>
            <w:proofErr w:type="spellStart"/>
            <w:r>
              <w:rPr>
                <w:b/>
                <w:color w:val="FF0000"/>
                <w:vertAlign w:val="superscript"/>
              </w:rPr>
              <w:t>микропредпр</w:t>
            </w:r>
            <w:proofErr w:type="spellEnd"/>
            <w:r>
              <w:rPr>
                <w:b/>
                <w:color w:val="FF0000"/>
                <w:vertAlign w:val="superscript"/>
              </w:rPr>
              <w:t xml:space="preserve"> СМП)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июля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Страховые взносы за июль 2020 года в </w:t>
            </w:r>
            <w:proofErr w:type="spellStart"/>
            <w:r w:rsidRPr="00254183">
              <w:t>т</w:t>
            </w:r>
            <w:proofErr w:type="gramStart"/>
            <w:r w:rsidRPr="00254183">
              <w:t>.ч</w:t>
            </w:r>
            <w:proofErr w:type="spellEnd"/>
            <w:proofErr w:type="gramEnd"/>
            <w:r w:rsidRPr="00254183">
              <w:t xml:space="preserve"> в по </w:t>
            </w:r>
            <w:proofErr w:type="spellStart"/>
            <w:r w:rsidRPr="00254183">
              <w:t>призводственному</w:t>
            </w:r>
            <w:proofErr w:type="spellEnd"/>
            <w:r w:rsidRPr="00254183">
              <w:t xml:space="preserve"> травматизму</w:t>
            </w:r>
          </w:p>
        </w:tc>
        <w:tc>
          <w:tcPr>
            <w:tcW w:w="0" w:type="auto"/>
            <w:vAlign w:val="center"/>
            <w:hideMark/>
          </w:tcPr>
          <w:p w:rsidR="00254183" w:rsidRDefault="00254183" w:rsidP="00254183">
            <w:pPr>
              <w:rPr>
                <w:b/>
                <w:color w:val="FF0000"/>
                <w:vertAlign w:val="superscript"/>
              </w:rPr>
            </w:pPr>
            <w:r w:rsidRPr="00254183">
              <w:t>15 декабря</w:t>
            </w:r>
            <w:proofErr w:type="gramStart"/>
            <w:r w:rsidRPr="00A265FB">
              <w:rPr>
                <w:b/>
                <w:color w:val="FF0000"/>
                <w:vertAlign w:val="superscript"/>
              </w:rPr>
              <w:t>1</w:t>
            </w:r>
            <w:proofErr w:type="gramEnd"/>
          </w:p>
          <w:p w:rsidR="00A265FB" w:rsidRPr="00254183" w:rsidRDefault="00A265FB" w:rsidP="00254183">
            <w:r>
              <w:rPr>
                <w:b/>
                <w:color w:val="FF0000"/>
                <w:vertAlign w:val="superscript"/>
              </w:rPr>
              <w:t xml:space="preserve">(только для </w:t>
            </w:r>
            <w:proofErr w:type="spellStart"/>
            <w:r>
              <w:rPr>
                <w:b/>
                <w:color w:val="FF0000"/>
                <w:vertAlign w:val="superscript"/>
              </w:rPr>
              <w:t>микропредпр</w:t>
            </w:r>
            <w:proofErr w:type="spellEnd"/>
            <w:r>
              <w:rPr>
                <w:b/>
                <w:color w:val="FF0000"/>
                <w:vertAlign w:val="superscript"/>
              </w:rPr>
              <w:t xml:space="preserve"> СМП)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17 августа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17 августа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УСН за 2019 год (организации)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сентября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31 марта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УСН за 2019 год (ИП)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31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апреля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ЕСХН за 2019 год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30 сентября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31 марта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ЕСХН за 1 полугодие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25 ноября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25 июля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25 июля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ЕНВД за 1 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26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27 апреля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6 мая</w:t>
            </w:r>
          </w:p>
        </w:tc>
      </w:tr>
      <w:tr w:rsidR="00254183" w:rsidRPr="00254183" w:rsidTr="00A265F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lastRenderedPageBreak/>
              <w:t>ЕНВД за 2 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25 ноября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27 июля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27 июля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ПСН по срокам уплаты, приходящимся на 2 квартал 2020 года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перенос срока на 4 месяца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переноса нет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переноса нет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НДФЛ за 2019 год (ИП, нотариусы, адвокаты)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октября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июля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15 июля</w:t>
            </w:r>
          </w:p>
        </w:tc>
      </w:tr>
      <w:tr w:rsidR="00254183" w:rsidRPr="00254183" w:rsidTr="00A265FB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Страховые взносы ИП в размере 1% с доходов свыше 300 тыс. рублей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 ноября</w:t>
            </w:r>
            <w:proofErr w:type="gramStart"/>
            <w:r w:rsidRPr="00A265FB">
              <w:rPr>
                <w:b/>
                <w:color w:val="FF0000"/>
                <w:vertAlign w:val="superscript"/>
              </w:rPr>
              <w:t>1</w:t>
            </w:r>
            <w:proofErr w:type="gramEnd"/>
            <w:r w:rsidR="00A265FB">
              <w:rPr>
                <w:b/>
                <w:color w:val="FF0000"/>
                <w:vertAlign w:val="superscript"/>
              </w:rPr>
              <w:t xml:space="preserve"> (только для </w:t>
            </w:r>
            <w:proofErr w:type="spellStart"/>
            <w:r w:rsidR="00A265FB">
              <w:rPr>
                <w:b/>
                <w:color w:val="FF0000"/>
                <w:vertAlign w:val="superscript"/>
              </w:rPr>
              <w:t>микропредпр</w:t>
            </w:r>
            <w:proofErr w:type="spellEnd"/>
            <w:r w:rsidR="00A265FB">
              <w:rPr>
                <w:b/>
                <w:color w:val="FF0000"/>
                <w:vertAlign w:val="superscript"/>
              </w:rPr>
              <w:t xml:space="preserve"> СМП)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 июля</w:t>
            </w:r>
          </w:p>
        </w:tc>
        <w:tc>
          <w:tcPr>
            <w:tcW w:w="0" w:type="auto"/>
            <w:vAlign w:val="center"/>
            <w:hideMark/>
          </w:tcPr>
          <w:p w:rsidR="00254183" w:rsidRPr="00254183" w:rsidRDefault="00254183" w:rsidP="00254183">
            <w:r w:rsidRPr="00254183">
              <w:t>1 июля</w:t>
            </w:r>
          </w:p>
        </w:tc>
      </w:tr>
    </w:tbl>
    <w:p w:rsidR="00254183" w:rsidRPr="00254183" w:rsidRDefault="00254183" w:rsidP="00254183">
      <w:r w:rsidRPr="00254183">
        <w:t>___________</w:t>
      </w:r>
    </w:p>
    <w:p w:rsidR="00254183" w:rsidRPr="00A265FB" w:rsidRDefault="00254183" w:rsidP="00254183">
      <w:pPr>
        <w:rPr>
          <w:b/>
          <w:color w:val="FF0000"/>
          <w:sz w:val="30"/>
          <w:szCs w:val="30"/>
        </w:rPr>
      </w:pPr>
      <w:r w:rsidRPr="00A265FB">
        <w:rPr>
          <w:b/>
          <w:color w:val="FF0000"/>
          <w:sz w:val="30"/>
          <w:szCs w:val="30"/>
          <w:vertAlign w:val="superscript"/>
        </w:rPr>
        <w:t>1</w:t>
      </w:r>
      <w:r w:rsidRPr="00A265FB">
        <w:rPr>
          <w:b/>
          <w:color w:val="FF0000"/>
          <w:sz w:val="30"/>
          <w:szCs w:val="30"/>
          <w:vertAlign w:val="subscript"/>
        </w:rPr>
        <w:t xml:space="preserve">Только для </w:t>
      </w:r>
      <w:proofErr w:type="spellStart"/>
      <w:r w:rsidRPr="00A265FB">
        <w:rPr>
          <w:b/>
          <w:color w:val="FF0000"/>
          <w:sz w:val="30"/>
          <w:szCs w:val="30"/>
          <w:vertAlign w:val="subscript"/>
        </w:rPr>
        <w:t>микропредприятий</w:t>
      </w:r>
      <w:proofErr w:type="spellEnd"/>
      <w:r w:rsidRPr="00A265FB">
        <w:rPr>
          <w:b/>
          <w:color w:val="FF0000"/>
          <w:sz w:val="30"/>
          <w:szCs w:val="30"/>
          <w:vertAlign w:val="subscript"/>
        </w:rPr>
        <w:t>, для остальных МСП см. графу 4</w:t>
      </w:r>
    </w:p>
    <w:p w:rsidR="00864E80" w:rsidRDefault="00864E80"/>
    <w:p w:rsidR="00864E80" w:rsidRDefault="00864E80">
      <w:r>
        <w:t>Реестр субъектов малого и среднего предпринимательства формируется автоматически (</w:t>
      </w:r>
      <w:hyperlink r:id="rId9" w:history="1">
        <w:r w:rsidRPr="00AC7FF2">
          <w:rPr>
            <w:rStyle w:val="a3"/>
            <w:lang w:val="en-US"/>
          </w:rPr>
          <w:t>www</w:t>
        </w:r>
        <w:r w:rsidRPr="00AC7FF2">
          <w:rPr>
            <w:rStyle w:val="a3"/>
          </w:rPr>
          <w:t>.</w:t>
        </w:r>
        <w:proofErr w:type="spellStart"/>
        <w:r w:rsidRPr="00AC7FF2">
          <w:rPr>
            <w:rStyle w:val="a3"/>
            <w:lang w:val="en-US"/>
          </w:rPr>
          <w:t>nalog</w:t>
        </w:r>
        <w:proofErr w:type="spellEnd"/>
        <w:r w:rsidRPr="00AC7FF2">
          <w:rPr>
            <w:rStyle w:val="a3"/>
          </w:rPr>
          <w:t>.</w:t>
        </w:r>
        <w:proofErr w:type="spellStart"/>
        <w:r w:rsidRPr="00AC7FF2">
          <w:rPr>
            <w:rStyle w:val="a3"/>
            <w:lang w:val="en-US"/>
          </w:rPr>
          <w:t>ru</w:t>
        </w:r>
        <w:proofErr w:type="spellEnd"/>
        <w:r w:rsidRPr="00AC7FF2">
          <w:rPr>
            <w:rStyle w:val="a3"/>
          </w:rPr>
          <w:t>/раздел</w:t>
        </w:r>
      </w:hyperlink>
      <w:r>
        <w:t xml:space="preserve"> «Реестр СМП»</w:t>
      </w:r>
      <w:r w:rsidRPr="00864E80">
        <w:t xml:space="preserve"> </w:t>
      </w:r>
      <w:r>
        <w:t xml:space="preserve"> </w:t>
      </w:r>
      <w:proofErr w:type="gramStart"/>
      <w:r w:rsidRPr="00864E80">
        <w:t>)</w:t>
      </w:r>
      <w:r>
        <w:t>н</w:t>
      </w:r>
      <w:proofErr w:type="gramEnd"/>
      <w:r>
        <w:t xml:space="preserve">а основании сведений налоговой  (в </w:t>
      </w:r>
      <w:proofErr w:type="spellStart"/>
      <w:r>
        <w:t>т.ч</w:t>
      </w:r>
      <w:proofErr w:type="spellEnd"/>
      <w:r>
        <w:t xml:space="preserve">. по </w:t>
      </w:r>
      <w:proofErr w:type="spellStart"/>
      <w:r>
        <w:t>спец.режимам</w:t>
      </w:r>
      <w:proofErr w:type="spellEnd"/>
      <w:r>
        <w:t>) отчетности, которую организация (ИП) представляли в налоговые органы за предшествующий календарный год.</w:t>
      </w:r>
    </w:p>
    <w:p w:rsidR="005D3C74" w:rsidRDefault="00864E80">
      <w:r>
        <w:t xml:space="preserve">Критерии отнесения в реестр СМП определены </w:t>
      </w:r>
      <w:r w:rsidRPr="00864E80">
        <w:t>Федеральны</w:t>
      </w:r>
      <w:r>
        <w:t>м</w:t>
      </w:r>
      <w:r w:rsidRPr="00864E80">
        <w:t xml:space="preserve"> закон</w:t>
      </w:r>
      <w:r>
        <w:t>ом</w:t>
      </w:r>
      <w:r w:rsidRPr="00864E80">
        <w:t xml:space="preserve"> от 24.07.20</w:t>
      </w:r>
      <w:r>
        <w:t>07 N 209-ФЗ</w:t>
      </w:r>
      <w:r w:rsidRPr="00864E80">
        <w:t xml:space="preserve"> "О развитии малого и среднего предпринимательства в Р</w:t>
      </w:r>
      <w:r>
        <w:t>оссийской Федерации"</w:t>
      </w:r>
      <w:proofErr w:type="gramStart"/>
      <w:r>
        <w:t xml:space="preserve"> .</w:t>
      </w:r>
      <w:proofErr w:type="gramEnd"/>
    </w:p>
    <w:p w:rsidR="00864E80" w:rsidRDefault="00864E80"/>
    <w:p w:rsidR="00864E80" w:rsidRDefault="00864E80" w:rsidP="00864E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Кто относится к субъектам малого и среднего предпринимательства</w:t>
      </w:r>
    </w:p>
    <w:p w:rsidR="00864E80" w:rsidRDefault="00864E80" w:rsidP="00864E80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Субъекты малого и среднего предпринимательства (СМП) - это средние, малые и </w:t>
      </w:r>
      <w:proofErr w:type="spellStart"/>
      <w:r>
        <w:rPr>
          <w:rFonts w:ascii="Calibri" w:hAnsi="Calibri" w:cs="Calibri"/>
        </w:rPr>
        <w:t>микропредприятия</w:t>
      </w:r>
      <w:proofErr w:type="spellEnd"/>
      <w:r>
        <w:rPr>
          <w:rFonts w:ascii="Calibri" w:hAnsi="Calibri" w:cs="Calibri"/>
        </w:rPr>
        <w:t>.</w:t>
      </w:r>
    </w:p>
    <w:p w:rsidR="00864E80" w:rsidRDefault="00864E80" w:rsidP="00864E80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Критерии малого предприятия</w:t>
      </w:r>
      <w:r>
        <w:rPr>
          <w:rFonts w:ascii="Calibri" w:hAnsi="Calibri" w:cs="Calibri"/>
        </w:rPr>
        <w:t xml:space="preserve"> - </w:t>
      </w:r>
      <w:hyperlink r:id="rId10" w:history="1">
        <w:r>
          <w:rPr>
            <w:rFonts w:ascii="Calibri" w:hAnsi="Calibri" w:cs="Calibri"/>
            <w:color w:val="0000FF"/>
          </w:rPr>
          <w:t>среднесписочная численность</w:t>
        </w:r>
      </w:hyperlink>
      <w:r>
        <w:rPr>
          <w:rFonts w:ascii="Calibri" w:hAnsi="Calibri" w:cs="Calibri"/>
        </w:rPr>
        <w:t xml:space="preserve"> не более </w:t>
      </w:r>
      <w:hyperlink r:id="rId11" w:history="1">
        <w:r>
          <w:rPr>
            <w:rFonts w:ascii="Calibri" w:hAnsi="Calibri" w:cs="Calibri"/>
            <w:color w:val="0000FF"/>
          </w:rPr>
          <w:t>100 человек</w:t>
        </w:r>
      </w:hyperlink>
      <w:r>
        <w:rPr>
          <w:rFonts w:ascii="Calibri" w:hAnsi="Calibri" w:cs="Calibri"/>
        </w:rPr>
        <w:t xml:space="preserve"> и доход не более </w:t>
      </w:r>
      <w:hyperlink r:id="rId12" w:history="1">
        <w:r>
          <w:rPr>
            <w:rFonts w:ascii="Calibri" w:hAnsi="Calibri" w:cs="Calibri"/>
            <w:color w:val="0000FF"/>
          </w:rPr>
          <w:t xml:space="preserve">800 </w:t>
        </w:r>
        <w:proofErr w:type="gramStart"/>
        <w:r>
          <w:rPr>
            <w:rFonts w:ascii="Calibri" w:hAnsi="Calibri" w:cs="Calibri"/>
            <w:color w:val="0000FF"/>
          </w:rPr>
          <w:t>млн</w:t>
        </w:r>
        <w:proofErr w:type="gramEnd"/>
        <w:r>
          <w:rPr>
            <w:rFonts w:ascii="Calibri" w:hAnsi="Calibri" w:cs="Calibri"/>
            <w:color w:val="0000FF"/>
          </w:rPr>
          <w:t xml:space="preserve"> руб</w:t>
        </w:r>
      </w:hyperlink>
      <w:r>
        <w:rPr>
          <w:rFonts w:ascii="Calibri" w:hAnsi="Calibri" w:cs="Calibri"/>
        </w:rPr>
        <w:t xml:space="preserve">. Минимум 51% уставного капитала ООО должно принадлежать физлицам или организациям - СМП. Доля организаций, не относящихся к СМП, не должна превышать 49%, доля государства, регионов или </w:t>
      </w:r>
      <w:hyperlink r:id="rId13" w:history="1">
        <w:r>
          <w:rPr>
            <w:rFonts w:ascii="Calibri" w:hAnsi="Calibri" w:cs="Calibri"/>
            <w:color w:val="0000FF"/>
          </w:rPr>
          <w:t>НКО</w:t>
        </w:r>
      </w:hyperlink>
      <w:r>
        <w:rPr>
          <w:rFonts w:ascii="Calibri" w:hAnsi="Calibri" w:cs="Calibri"/>
        </w:rPr>
        <w:t xml:space="preserve"> - 25% (</w:t>
      </w:r>
      <w:proofErr w:type="spellStart"/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consultantplus://offline/ref=6A50C1ACACDFBAB8CFB5B587566E6A07CD050D213D589C8BAD40041303C3D2B3F950D2F33EBA3CDE3D1DB4E17B73F07450AEFB712E624ED8CECDH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пп</w:t>
      </w:r>
      <w:proofErr w:type="spellEnd"/>
      <w:r>
        <w:rPr>
          <w:rFonts w:ascii="Calibri" w:hAnsi="Calibri" w:cs="Calibri"/>
          <w:color w:val="0000FF"/>
        </w:rPr>
        <w:t>. "а" п. 1 ч. 1.1 ст. 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Закона N 209-ФЗ).</w:t>
      </w:r>
    </w:p>
    <w:p w:rsidR="00864E80" w:rsidRDefault="00864E80" w:rsidP="00864E80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Критерии </w:t>
      </w:r>
      <w:proofErr w:type="spellStart"/>
      <w:r>
        <w:rPr>
          <w:rFonts w:ascii="Calibri" w:hAnsi="Calibri" w:cs="Calibri"/>
          <w:b/>
          <w:bCs/>
        </w:rPr>
        <w:t>микропредприятия</w:t>
      </w:r>
      <w:proofErr w:type="spellEnd"/>
      <w:r>
        <w:rPr>
          <w:rFonts w:ascii="Calibri" w:hAnsi="Calibri" w:cs="Calibri"/>
        </w:rPr>
        <w:t xml:space="preserve"> - среднесписочная численность не более </w:t>
      </w:r>
      <w:hyperlink r:id="rId14" w:history="1">
        <w:r>
          <w:rPr>
            <w:rFonts w:ascii="Calibri" w:hAnsi="Calibri" w:cs="Calibri"/>
            <w:color w:val="0000FF"/>
          </w:rPr>
          <w:t>15 человек</w:t>
        </w:r>
      </w:hyperlink>
      <w:r>
        <w:rPr>
          <w:rFonts w:ascii="Calibri" w:hAnsi="Calibri" w:cs="Calibri"/>
        </w:rPr>
        <w:t xml:space="preserve"> и доход не более </w:t>
      </w:r>
      <w:hyperlink r:id="rId15" w:history="1">
        <w:r>
          <w:rPr>
            <w:rFonts w:ascii="Calibri" w:hAnsi="Calibri" w:cs="Calibri"/>
            <w:color w:val="0000FF"/>
          </w:rPr>
          <w:t xml:space="preserve">120 </w:t>
        </w:r>
        <w:proofErr w:type="gramStart"/>
        <w:r>
          <w:rPr>
            <w:rFonts w:ascii="Calibri" w:hAnsi="Calibri" w:cs="Calibri"/>
            <w:color w:val="0000FF"/>
          </w:rPr>
          <w:t>млн</w:t>
        </w:r>
        <w:proofErr w:type="gramEnd"/>
        <w:r>
          <w:rPr>
            <w:rFonts w:ascii="Calibri" w:hAnsi="Calibri" w:cs="Calibri"/>
            <w:color w:val="0000FF"/>
          </w:rPr>
          <w:t xml:space="preserve"> руб</w:t>
        </w:r>
      </w:hyperlink>
      <w:r>
        <w:rPr>
          <w:rFonts w:ascii="Calibri" w:hAnsi="Calibri" w:cs="Calibri"/>
        </w:rPr>
        <w:t>. Ограничения по структуре уставного капитала - те же, что и для малых предприятий.</w:t>
      </w:r>
    </w:p>
    <w:p w:rsidR="00864E80" w:rsidRDefault="00864E80" w:rsidP="00864E80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Критерии среднего предприятия</w:t>
      </w:r>
      <w:r>
        <w:rPr>
          <w:rFonts w:ascii="Calibri" w:hAnsi="Calibri" w:cs="Calibri"/>
        </w:rPr>
        <w:t xml:space="preserve"> - среднесписочная численность не более </w:t>
      </w:r>
      <w:hyperlink r:id="rId16" w:history="1">
        <w:r>
          <w:rPr>
            <w:rFonts w:ascii="Calibri" w:hAnsi="Calibri" w:cs="Calibri"/>
            <w:color w:val="0000FF"/>
          </w:rPr>
          <w:t>250 человек</w:t>
        </w:r>
      </w:hyperlink>
      <w:r>
        <w:rPr>
          <w:rFonts w:ascii="Calibri" w:hAnsi="Calibri" w:cs="Calibri"/>
        </w:rPr>
        <w:t xml:space="preserve"> и доход не более </w:t>
      </w:r>
      <w:hyperlink r:id="rId17" w:history="1">
        <w:r>
          <w:rPr>
            <w:rFonts w:ascii="Calibri" w:hAnsi="Calibri" w:cs="Calibri"/>
            <w:color w:val="0000FF"/>
          </w:rPr>
          <w:t xml:space="preserve">2 </w:t>
        </w:r>
        <w:proofErr w:type="gramStart"/>
        <w:r>
          <w:rPr>
            <w:rFonts w:ascii="Calibri" w:hAnsi="Calibri" w:cs="Calibri"/>
            <w:color w:val="0000FF"/>
          </w:rPr>
          <w:t>млрд</w:t>
        </w:r>
        <w:proofErr w:type="gramEnd"/>
        <w:r>
          <w:rPr>
            <w:rFonts w:ascii="Calibri" w:hAnsi="Calibri" w:cs="Calibri"/>
            <w:color w:val="0000FF"/>
          </w:rPr>
          <w:t xml:space="preserve"> руб</w:t>
        </w:r>
      </w:hyperlink>
      <w:r>
        <w:rPr>
          <w:rFonts w:ascii="Calibri" w:hAnsi="Calibri" w:cs="Calibri"/>
        </w:rPr>
        <w:t>. Ограничения по структуре уставного капитала - те же, что и для малых предприятий.</w:t>
      </w:r>
    </w:p>
    <w:p w:rsidR="00864E80" w:rsidRDefault="00864E80" w:rsidP="00864E80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Среднесписочную численность и доход оценивают за предыдущий год, доход считают по данным налогового учета без НДС.</w:t>
      </w:r>
    </w:p>
    <w:p w:rsidR="00864E80" w:rsidRDefault="00864E80">
      <w:bookmarkStart w:id="0" w:name="_GoBack"/>
      <w:bookmarkEnd w:id="0"/>
    </w:p>
    <w:sectPr w:rsidR="0086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02B"/>
    <w:multiLevelType w:val="multilevel"/>
    <w:tmpl w:val="8C88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83"/>
    <w:rsid w:val="00027B08"/>
    <w:rsid w:val="00254183"/>
    <w:rsid w:val="00443F1A"/>
    <w:rsid w:val="005D3C74"/>
    <w:rsid w:val="007E43B8"/>
    <w:rsid w:val="00864E80"/>
    <w:rsid w:val="00A265FB"/>
    <w:rsid w:val="00C6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1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54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1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54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rk.ru/doc/497877/" TargetMode="External"/><Relationship Id="rId13" Type="http://schemas.openxmlformats.org/officeDocument/2006/relationships/hyperlink" Target="consultantplus://offline/ref=6A50C1ACACDFBAB8CFB5A984486E6A07CC0603253D539C8BAD40041303C3D2B3F950D2F33EBA3EDD3E1DB4E17B73F07450AEFB712E624ED8CECD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004020025" TargetMode="External"/><Relationship Id="rId12" Type="http://schemas.openxmlformats.org/officeDocument/2006/relationships/hyperlink" Target="consultantplus://offline/ref=6A50C1ACACDFBAB8CFB5B587566E6A07CF0E02263A559C8BAD40041303C3D2B3F950D2F33EBA3FDC3E1DB4E17B73F07450AEFB712E624ED8CECDH" TargetMode="External"/><Relationship Id="rId17" Type="http://schemas.openxmlformats.org/officeDocument/2006/relationships/hyperlink" Target="consultantplus://offline/ref=6A50C1ACACDFBAB8CFB5B587566E6A07CF0E02263A559C8BAD40041303C3D2B3F950D2F33EBA3FDC311DB4E17B73F07450AEFB712E624ED8CEC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A50C1ACACDFBAB8CFB5B587566E6A07CD050D213D589C8BAD40041303C3D2B3F950D2F33CBF34886852B5BD3F2EE3745CAEF97532C6C0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kTj6vbMop2fN43iEZ16idfPSKriXYK5o.pdf" TargetMode="External"/><Relationship Id="rId11" Type="http://schemas.openxmlformats.org/officeDocument/2006/relationships/hyperlink" Target="consultantplus://offline/ref=6A50C1ACACDFBAB8CFB5B587566E6A07CD050D213D589C8BAD40041303C3D2B3F950D2F33CBE34886852B5BD3F2EE3745CAEF97532C6C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50C1ACACDFBAB8CFB5B587566E6A07CF0E02263A559C8BAD40041303C3D2B3F950D2F33EBA3FDC3F1DB4E17B73F07450AEFB712E624ED8CECDH" TargetMode="External"/><Relationship Id="rId10" Type="http://schemas.openxmlformats.org/officeDocument/2006/relationships/hyperlink" Target="consultantplus://offline/ref=6A50C1ACACDFBAB8CFB5A984486E6A07CC0604263D599C8BAD40041303C3D2B3EB508AFF3EB221DC3D08E2B03DC2C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log.ru/&#1088;&#1072;&#1079;&#1076;&#1077;&#1083;" TargetMode="External"/><Relationship Id="rId14" Type="http://schemas.openxmlformats.org/officeDocument/2006/relationships/hyperlink" Target="consultantplus://offline/ref=6A50C1ACACDFBAB8CFB5B587566E6A07CD050D213D589C8BAD40041303C3D2B3F950D2F33CBE34886852B5BD3F2EE3745CAEF97532C6C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Лизунова Людмила Владимировна</cp:lastModifiedBy>
  <cp:revision>4</cp:revision>
  <dcterms:created xsi:type="dcterms:W3CDTF">2020-04-07T08:06:00Z</dcterms:created>
  <dcterms:modified xsi:type="dcterms:W3CDTF">2020-04-08T07:02:00Z</dcterms:modified>
</cp:coreProperties>
</file>