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Pr="0085593D" w:rsidRDefault="006C1FCF" w:rsidP="006C1FCF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6C1FCF">
        <w:rPr>
          <w:rFonts w:ascii="Times New Roman" w:hAnsi="Times New Roman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1581">
        <w:rPr>
          <w:rFonts w:ascii="Times New Roman" w:hAnsi="Times New Roman"/>
          <w:b/>
          <w:sz w:val="28"/>
          <w:szCs w:val="28"/>
        </w:rPr>
        <w:t xml:space="preserve">        </w:t>
      </w:r>
      <w:r w:rsidR="00DB2B2B" w:rsidRPr="0085593D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85593D" w:rsidRDefault="0085593D" w:rsidP="0085593D">
      <w:pPr>
        <w:shd w:val="clear" w:color="auto" w:fill="FFFFFF"/>
        <w:spacing w:after="0"/>
        <w:ind w:firstLine="708"/>
        <w:jc w:val="both"/>
      </w:pPr>
    </w:p>
    <w:p w:rsidR="00803888" w:rsidRDefault="00803888" w:rsidP="0085593D">
      <w:pPr>
        <w:shd w:val="clear" w:color="auto" w:fill="FFFFFF"/>
        <w:spacing w:after="0"/>
        <w:ind w:firstLine="708"/>
        <w:jc w:val="both"/>
      </w:pPr>
    </w:p>
    <w:p w:rsidR="006C1FCF" w:rsidRPr="00BD6DCD" w:rsidRDefault="006C1FCF" w:rsidP="0085593D">
      <w:pPr>
        <w:shd w:val="clear" w:color="auto" w:fill="FFFFFF"/>
        <w:spacing w:after="0"/>
        <w:ind w:firstLine="708"/>
        <w:jc w:val="both"/>
      </w:pPr>
    </w:p>
    <w:p w:rsidR="0085593D" w:rsidRPr="0085593D" w:rsidRDefault="0085593D" w:rsidP="0085593D">
      <w:pPr>
        <w:shd w:val="clear" w:color="auto" w:fill="FFFFFF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85593D">
        <w:rPr>
          <w:rFonts w:ascii="Segoe UI" w:eastAsia="Calibri" w:hAnsi="Segoe UI" w:cs="Segoe UI"/>
          <w:sz w:val="32"/>
          <w:szCs w:val="32"/>
          <w:lang w:eastAsia="sk-SK"/>
        </w:rPr>
        <w:t>Последние изменения в законодательстве при оформлении недвижимости</w:t>
      </w:r>
    </w:p>
    <w:p w:rsidR="00803888" w:rsidRPr="00803888" w:rsidRDefault="00803888" w:rsidP="00803888">
      <w:pPr>
        <w:shd w:val="clear" w:color="auto" w:fill="FFFFFF"/>
        <w:spacing w:after="0"/>
        <w:ind w:firstLine="708"/>
        <w:jc w:val="both"/>
        <w:rPr>
          <w:b/>
        </w:rPr>
      </w:pPr>
      <w:r>
        <w:t>Сегодня в ИА «</w:t>
      </w:r>
      <w:proofErr w:type="spellStart"/>
      <w:r>
        <w:t>Татар-информ</w:t>
      </w:r>
      <w:proofErr w:type="spellEnd"/>
      <w:r>
        <w:t xml:space="preserve">» состоялась пресс-конференция, посвященная последним изменениям законодательства в сфере недвижимости. В мероприятии для журналистов принимали участие </w:t>
      </w:r>
      <w:r w:rsidRPr="00803888">
        <w:rPr>
          <w:b/>
        </w:rPr>
        <w:t xml:space="preserve">заместитель руководителя Управления </w:t>
      </w:r>
      <w:proofErr w:type="spellStart"/>
      <w:r w:rsidRPr="00803888">
        <w:rPr>
          <w:b/>
        </w:rPr>
        <w:t>Росреестра</w:t>
      </w:r>
      <w:proofErr w:type="spellEnd"/>
      <w:r w:rsidRPr="00803888">
        <w:rPr>
          <w:b/>
        </w:rPr>
        <w:t xml:space="preserve"> по Республике Татарстан т  Ада  </w:t>
      </w:r>
      <w:proofErr w:type="spellStart"/>
      <w:r w:rsidRPr="00803888">
        <w:rPr>
          <w:b/>
        </w:rPr>
        <w:t>Зайдуллина</w:t>
      </w:r>
      <w:proofErr w:type="spellEnd"/>
      <w:r>
        <w:t xml:space="preserve"> и </w:t>
      </w:r>
      <w:r w:rsidRPr="00803888">
        <w:rPr>
          <w:b/>
        </w:rPr>
        <w:t xml:space="preserve">заместитель директора </w:t>
      </w:r>
      <w:r w:rsidR="006C1FCF">
        <w:rPr>
          <w:b/>
        </w:rPr>
        <w:t>Кадастровой палаты п</w:t>
      </w:r>
      <w:r w:rsidRPr="00803888">
        <w:rPr>
          <w:b/>
        </w:rPr>
        <w:t xml:space="preserve">о Республике Татарстан» </w:t>
      </w:r>
      <w:proofErr w:type="spellStart"/>
      <w:r w:rsidRPr="00803888">
        <w:rPr>
          <w:b/>
        </w:rPr>
        <w:t>Лейсан</w:t>
      </w:r>
      <w:proofErr w:type="spellEnd"/>
      <w:r w:rsidRPr="00803888">
        <w:rPr>
          <w:b/>
        </w:rPr>
        <w:t xml:space="preserve"> Рахматуллина. </w:t>
      </w:r>
    </w:p>
    <w:p w:rsidR="0085593D" w:rsidRPr="00BD6DCD" w:rsidRDefault="00803888" w:rsidP="00803888">
      <w:pPr>
        <w:shd w:val="clear" w:color="auto" w:fill="FFFFFF"/>
        <w:spacing w:after="0"/>
        <w:ind w:firstLine="708"/>
        <w:jc w:val="both"/>
      </w:pPr>
      <w:r>
        <w:t xml:space="preserve">Как рассказала </w:t>
      </w:r>
      <w:r w:rsidRPr="00803888">
        <w:rPr>
          <w:b/>
        </w:rPr>
        <w:t xml:space="preserve">Ада </w:t>
      </w:r>
      <w:proofErr w:type="spellStart"/>
      <w:r w:rsidRPr="00803888">
        <w:rPr>
          <w:b/>
        </w:rPr>
        <w:t>Зайдуллина</w:t>
      </w:r>
      <w:proofErr w:type="spellEnd"/>
      <w:r>
        <w:t>, в</w:t>
      </w:r>
      <w:r w:rsidR="0085593D" w:rsidRPr="00BD6DCD">
        <w:t xml:space="preserve"> настоящее время на подписании у президента находится Федеральный закон «О внесении изменений в отдельные законодательные акты РФ». Им вносятся следующие существенные изменения.</w:t>
      </w:r>
    </w:p>
    <w:p w:rsidR="0085593D" w:rsidRPr="00BD6DCD" w:rsidRDefault="00803888" w:rsidP="0085593D">
      <w:pPr>
        <w:shd w:val="clear" w:color="auto" w:fill="FFFFFF"/>
        <w:spacing w:after="0"/>
        <w:ind w:firstLine="708"/>
        <w:jc w:val="both"/>
      </w:pPr>
      <w:r>
        <w:t>Во-первых, в</w:t>
      </w:r>
      <w:r w:rsidR="0085593D" w:rsidRPr="00BD6DCD">
        <w:t xml:space="preserve">озобновляется действие упрощенного порядка постановки на кадастровый учет и регистрации прав на жилые и садовые дома, возведенные на садовых участках. Для оформления прав на такие дома необходимо представить  только технический план объекта недвижимости и, если в ЕГРН не зарегистрировано право заявителя на земельный участок, </w:t>
      </w:r>
      <w:r w:rsidR="009D50C3">
        <w:t>то</w:t>
      </w:r>
      <w:r w:rsidR="0085593D" w:rsidRPr="00BD6DCD">
        <w:t xml:space="preserve"> правоустанавливающие документы на данный земельный участок. Также необходимо уплатить г</w:t>
      </w:r>
      <w:r w:rsidR="006C1FCF">
        <w:t>о</w:t>
      </w:r>
      <w:r w:rsidR="0085593D" w:rsidRPr="00BD6DCD">
        <w:t xml:space="preserve">спошлину в размере 350 рублей. </w:t>
      </w:r>
      <w:r w:rsidR="0085593D" w:rsidRPr="00803888">
        <w:rPr>
          <w:b/>
        </w:rPr>
        <w:t>Действовать такой порядок будет до 1 марта 2021 года.</w:t>
      </w:r>
      <w:r w:rsidR="0085593D" w:rsidRPr="00BD6DCD">
        <w:t xml:space="preserve"> До указанной даты не требуется уведомление о планируемом строительстве и реконструкции и уведомление об окончании строительства. </w:t>
      </w:r>
    </w:p>
    <w:p w:rsidR="0085593D" w:rsidRPr="00BD6DCD" w:rsidRDefault="00803888" w:rsidP="0085593D">
      <w:pPr>
        <w:shd w:val="clear" w:color="auto" w:fill="FFFFFF"/>
        <w:spacing w:after="0"/>
        <w:ind w:firstLine="708"/>
        <w:jc w:val="both"/>
      </w:pPr>
      <w:r>
        <w:t>Во-вторых, д</w:t>
      </w:r>
      <w:r w:rsidR="0085593D" w:rsidRPr="00BD6DCD">
        <w:t xml:space="preserve">ля индивидуальных жилых домов, построенных на земельных участках, предназначенных для ИЖС и для ведения ЛПХ в границах населенных пунктов, продолжает действовать уведомительный порядок оформления документов. </w:t>
      </w:r>
    </w:p>
    <w:p w:rsidR="0085593D" w:rsidRPr="0085593D" w:rsidRDefault="00803888" w:rsidP="00803888">
      <w:pPr>
        <w:shd w:val="clear" w:color="auto" w:fill="FFFFFF"/>
        <w:spacing w:after="0"/>
        <w:ind w:firstLine="708"/>
        <w:jc w:val="both"/>
      </w:pPr>
      <w:r w:rsidRPr="00803888">
        <w:t xml:space="preserve">При этом </w:t>
      </w:r>
      <w:r w:rsidRPr="00803888">
        <w:rPr>
          <w:b/>
        </w:rPr>
        <w:t xml:space="preserve">Ада </w:t>
      </w:r>
      <w:proofErr w:type="spellStart"/>
      <w:r w:rsidRPr="00803888">
        <w:rPr>
          <w:b/>
        </w:rPr>
        <w:t>Зайдуллина</w:t>
      </w:r>
      <w:proofErr w:type="spellEnd"/>
      <w:r w:rsidRPr="00803888">
        <w:t xml:space="preserve"> обратила внимание на то, что </w:t>
      </w:r>
      <w:r w:rsidR="0085593D" w:rsidRPr="00803888">
        <w:t xml:space="preserve">данный закон предоставил возможность правообладателям земельных участков, которые начали строительство и реконструкцию жилого дома до 04.08.2018 года без разрешения на строительство, направить в Исполком уведомление о планируемом строительстве или реконструкции и </w:t>
      </w:r>
      <w:r w:rsidR="0085593D" w:rsidRPr="0085593D">
        <w:t>тем самым узаконить самовольные постройки. Это необходимо сделать до 1.03.2021 года.</w:t>
      </w:r>
    </w:p>
    <w:p w:rsidR="0085593D" w:rsidRPr="00BD6DCD" w:rsidRDefault="00803888" w:rsidP="00115017">
      <w:pPr>
        <w:shd w:val="clear" w:color="auto" w:fill="FFFFFF"/>
        <w:spacing w:after="0"/>
        <w:ind w:firstLine="708"/>
        <w:jc w:val="both"/>
      </w:pPr>
      <w:r>
        <w:t>Кроме того, п</w:t>
      </w:r>
      <w:r w:rsidR="0085593D" w:rsidRPr="00BD6DCD">
        <w:t xml:space="preserve">родлевается срок бесплатного предоставления земельных участков членам СНТ и ОНТ. Согласно прежним нормам законодательства, получить земельный участок бесплатно в собственность члены СНТ или ОНТ могли только до 31 декабря 2020 года. Теперь этот срок продлен до 1 марта 2022 года. </w:t>
      </w:r>
    </w:p>
    <w:p w:rsidR="0085593D" w:rsidRPr="00BD6DCD" w:rsidRDefault="00803888" w:rsidP="00115017">
      <w:pPr>
        <w:shd w:val="clear" w:color="auto" w:fill="FFFFFF"/>
        <w:spacing w:after="0"/>
        <w:ind w:firstLine="708"/>
        <w:jc w:val="both"/>
      </w:pPr>
      <w:r>
        <w:t xml:space="preserve">Также </w:t>
      </w:r>
      <w:r w:rsidRPr="00803888">
        <w:rPr>
          <w:b/>
        </w:rPr>
        <w:t xml:space="preserve">Ада </w:t>
      </w:r>
      <w:proofErr w:type="spellStart"/>
      <w:r w:rsidRPr="00803888">
        <w:rPr>
          <w:b/>
        </w:rPr>
        <w:t>Зайдуллина</w:t>
      </w:r>
      <w:proofErr w:type="spellEnd"/>
      <w:r>
        <w:t xml:space="preserve"> рассказала, что </w:t>
      </w:r>
      <w:r w:rsidR="0085593D" w:rsidRPr="00BD6DCD">
        <w:t>Советом Федерации одобрен закон, направленный на защиту имущественных прав граждан. Данным законом установлена возможность проведения сделок с недвижимостью с помощью электронных цифровых подписей только с письменного согласия гражданина. Так, поправками предлагается установить, что внесение в ЕГРН сведений об отчуждении объекта недвижимости, принадлежащего физическому лицу на праве собственности, путем подачи заявления в электронной форме, подписанного усиленной квалифицированной электронной подписью собственника объекта недвижимости или его представителя, осуществляется только при наличии в ЕГРН специальной отметки о возможности такой формы подачи документов. Эта отметка может быть проставлена только на основании личного заявления собственника объекта недвижимости (его законного представителя) или посредством почтового отправления.</w:t>
      </w:r>
    </w:p>
    <w:p w:rsidR="0085593D" w:rsidRPr="00BD6DCD" w:rsidRDefault="0085593D" w:rsidP="00115017">
      <w:pPr>
        <w:shd w:val="clear" w:color="auto" w:fill="FFFFFF"/>
        <w:spacing w:after="0"/>
        <w:ind w:firstLine="708"/>
        <w:jc w:val="both"/>
      </w:pPr>
      <w:r w:rsidRPr="00BD6DCD">
        <w:t xml:space="preserve">Новые правила предусмотрены только в отношении недвижимости, принадлежащей на праве собственности гражданам - непрофессиональным участникам рынка недвижимости, имеющим меньше возможностей по </w:t>
      </w:r>
      <w:proofErr w:type="gramStart"/>
      <w:r w:rsidRPr="00BD6DCD">
        <w:t>контролю за</w:t>
      </w:r>
      <w:proofErr w:type="gramEnd"/>
      <w:r w:rsidRPr="00BD6DCD">
        <w:t xml:space="preserve"> достоверностью электронной подписи; а также только для случаев, при которых незаконное использование электронной подписи может причинить наибольший вред - то есть случаев отчуждения объекта недвижимости.</w:t>
      </w:r>
    </w:p>
    <w:p w:rsidR="000420E8" w:rsidRDefault="000420E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p w:rsidR="00803888" w:rsidRPr="009260B1" w:rsidRDefault="00803888" w:rsidP="00803888">
      <w:pPr>
        <w:jc w:val="both"/>
      </w:pPr>
      <w:r w:rsidRPr="009260B1">
        <w:t>Контакты для СМИ</w:t>
      </w:r>
    </w:p>
    <w:p w:rsidR="00803888" w:rsidRPr="009260B1" w:rsidRDefault="00803888" w:rsidP="00803888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803888" w:rsidRDefault="00803888" w:rsidP="00803888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803888" w:rsidRDefault="00803888" w:rsidP="00115017">
      <w:pPr>
        <w:shd w:val="clear" w:color="auto" w:fill="FFFFFF"/>
        <w:spacing w:after="0"/>
        <w:jc w:val="both"/>
        <w:rPr>
          <w:i/>
        </w:rPr>
      </w:pPr>
    </w:p>
    <w:sectPr w:rsidR="0080388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420E8"/>
    <w:rsid w:val="000A40E9"/>
    <w:rsid w:val="000E2469"/>
    <w:rsid w:val="001065ED"/>
    <w:rsid w:val="00115017"/>
    <w:rsid w:val="0014215B"/>
    <w:rsid w:val="0016715E"/>
    <w:rsid w:val="00177208"/>
    <w:rsid w:val="00181B32"/>
    <w:rsid w:val="001820BB"/>
    <w:rsid w:val="001A14E7"/>
    <w:rsid w:val="001D3064"/>
    <w:rsid w:val="002343DB"/>
    <w:rsid w:val="002479A5"/>
    <w:rsid w:val="00272C09"/>
    <w:rsid w:val="00287E57"/>
    <w:rsid w:val="00292B9F"/>
    <w:rsid w:val="002D3C72"/>
    <w:rsid w:val="0035694C"/>
    <w:rsid w:val="0036265D"/>
    <w:rsid w:val="003D09F0"/>
    <w:rsid w:val="003D7262"/>
    <w:rsid w:val="003D7471"/>
    <w:rsid w:val="003E2748"/>
    <w:rsid w:val="003F50F0"/>
    <w:rsid w:val="00424156"/>
    <w:rsid w:val="00435496"/>
    <w:rsid w:val="00440BC3"/>
    <w:rsid w:val="004631BA"/>
    <w:rsid w:val="00491E4E"/>
    <w:rsid w:val="004E29EA"/>
    <w:rsid w:val="004F6670"/>
    <w:rsid w:val="00591581"/>
    <w:rsid w:val="005D6CB8"/>
    <w:rsid w:val="00605657"/>
    <w:rsid w:val="00624ED5"/>
    <w:rsid w:val="00634D10"/>
    <w:rsid w:val="00650FE4"/>
    <w:rsid w:val="006870C6"/>
    <w:rsid w:val="006B1C0D"/>
    <w:rsid w:val="006C1FCF"/>
    <w:rsid w:val="006E74A4"/>
    <w:rsid w:val="006F1DD2"/>
    <w:rsid w:val="00735EC3"/>
    <w:rsid w:val="00745649"/>
    <w:rsid w:val="007D1EF3"/>
    <w:rsid w:val="007E2D6F"/>
    <w:rsid w:val="007E3520"/>
    <w:rsid w:val="00803888"/>
    <w:rsid w:val="0085593D"/>
    <w:rsid w:val="00857AFA"/>
    <w:rsid w:val="00881FAF"/>
    <w:rsid w:val="008928C5"/>
    <w:rsid w:val="00905D08"/>
    <w:rsid w:val="00911245"/>
    <w:rsid w:val="009249B1"/>
    <w:rsid w:val="009260B1"/>
    <w:rsid w:val="009516B0"/>
    <w:rsid w:val="009D50C3"/>
    <w:rsid w:val="009E0E2F"/>
    <w:rsid w:val="00A10236"/>
    <w:rsid w:val="00A9097E"/>
    <w:rsid w:val="00B057B9"/>
    <w:rsid w:val="00B43F1C"/>
    <w:rsid w:val="00B66590"/>
    <w:rsid w:val="00BB5BD5"/>
    <w:rsid w:val="00C1689A"/>
    <w:rsid w:val="00C353DA"/>
    <w:rsid w:val="00C5533B"/>
    <w:rsid w:val="00C65119"/>
    <w:rsid w:val="00CA31FC"/>
    <w:rsid w:val="00CE37F5"/>
    <w:rsid w:val="00D32316"/>
    <w:rsid w:val="00D879DF"/>
    <w:rsid w:val="00DB2B2B"/>
    <w:rsid w:val="00DB7794"/>
    <w:rsid w:val="00E00C74"/>
    <w:rsid w:val="00E2223B"/>
    <w:rsid w:val="00E232B4"/>
    <w:rsid w:val="00E26F8A"/>
    <w:rsid w:val="00E56107"/>
    <w:rsid w:val="00E76B33"/>
    <w:rsid w:val="00EA5DDD"/>
    <w:rsid w:val="00EA6456"/>
    <w:rsid w:val="00EC5EF2"/>
    <w:rsid w:val="00EF5323"/>
    <w:rsid w:val="00F12CD0"/>
    <w:rsid w:val="00F24826"/>
    <w:rsid w:val="00F94C1C"/>
    <w:rsid w:val="00F97DEE"/>
    <w:rsid w:val="00FC0262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1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16</cp:revision>
  <cp:lastPrinted>2019-08-01T12:20:00Z</cp:lastPrinted>
  <dcterms:created xsi:type="dcterms:W3CDTF">2019-07-08T10:48:00Z</dcterms:created>
  <dcterms:modified xsi:type="dcterms:W3CDTF">2019-08-01T12:26:00Z</dcterms:modified>
</cp:coreProperties>
</file>