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0E7C3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AA453E" w:rsidRDefault="00AA453E" w:rsidP="006445A1">
      <w:pPr>
        <w:jc w:val="right"/>
        <w:rPr>
          <w:noProof/>
          <w:sz w:val="32"/>
          <w:szCs w:val="32"/>
          <w:lang w:eastAsia="sk-SK"/>
        </w:rPr>
      </w:pPr>
    </w:p>
    <w:p w:rsidR="00AA453E" w:rsidRDefault="00AA453E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7C30" w:rsidRDefault="00EA16EB" w:rsidP="000E7C3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рассмотрели вопросы применения закона о «лесной амн</w:t>
      </w:r>
      <w:r w:rsidR="00AA453E">
        <w:rPr>
          <w:rFonts w:ascii="Segoe UI" w:eastAsia="Calibri" w:hAnsi="Segoe UI" w:cs="Segoe UI"/>
          <w:sz w:val="32"/>
          <w:szCs w:val="32"/>
          <w:lang w:eastAsia="sk-SK"/>
        </w:rPr>
        <w:t>и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стии» </w:t>
      </w:r>
      <w:r w:rsidR="00C137D8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604FA7" w:rsidRDefault="00C137D8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Управлении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по Республике Татарстан под </w:t>
      </w:r>
      <w:r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руководством </w:t>
      </w:r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заместителя руководителя Ады </w:t>
      </w:r>
      <w:proofErr w:type="spellStart"/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Зайдуллиной</w:t>
      </w:r>
      <w:proofErr w:type="spellEnd"/>
      <w:r w:rsidRPr="00DB5A88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r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состоялось </w:t>
      </w:r>
      <w:r w:rsidR="003B2729" w:rsidRP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очередное заседание межве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домственной рабочей группы </w:t>
      </w:r>
      <w:r w:rsid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 применению закона о «лесной амнистии». 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мероприятии приняли участие представители </w:t>
      </w:r>
      <w:proofErr w:type="spellStart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Татарстана, Кадастровой палаты, </w:t>
      </w:r>
      <w:proofErr w:type="spellStart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Росимущества</w:t>
      </w:r>
      <w:proofErr w:type="spellEnd"/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Министерства лесного хозяйства,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Казанского филиала </w:t>
      </w:r>
      <w:proofErr w:type="spellStart"/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Рослесинфорга</w:t>
      </w:r>
      <w:proofErr w:type="spellEnd"/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Департамента лесного хозяйства по ПФО и другие. </w:t>
      </w:r>
    </w:p>
    <w:p w:rsidR="003B2729" w:rsidRDefault="00604FA7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 рамках проведения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заседания рассматривались многочисленные обращения</w:t>
      </w:r>
      <w:r w:rsid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поступ</w:t>
      </w:r>
      <w:r w:rsid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ившие главным образом от членов садоводческих товариществ, расположенных в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городе </w:t>
      </w:r>
      <w:r w:rsid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Казани и Зеленодольском районе: «Дорожник», «Заря», «Ветеран» «Лесная поляна» и «Залив»</w:t>
      </w:r>
      <w:r w:rsidR="003B2729" w:rsidRPr="003B272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 w:rsid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большинстве случаев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рабочей группой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были приняты</w:t>
      </w:r>
      <w:r w:rsidR="00EA16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положительные решения –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 внесении изменений в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государственный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лесной реестр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отношении лесных участков в целях исключения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пересечений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 земельными участками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 Таким образом, 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многие заявители, чьи дела сегодня рассматривались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межведомственной рабочей группой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смогли в досудебном порядк</w:t>
      </w:r>
      <w:r w:rsidR="00135E5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е решить давние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проблемы,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с которыми они сталкивались при оформлении документов на земельные участки в части устранения пересечения </w:t>
      </w:r>
      <w:r w:rsidR="0068589D" w:rsidRPr="0068589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гр</w:t>
      </w:r>
      <w:r w:rsidR="0068589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аниц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их </w:t>
      </w:r>
      <w:r w:rsidR="0068589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земельных участков</w:t>
      </w:r>
      <w:r w:rsidR="0068589D" w:rsidRPr="0068589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 границами лесных участков</w:t>
      </w:r>
      <w:r w:rsidR="0068589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</w:t>
      </w:r>
      <w:r w:rsidR="00E73F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В то же время некоторые обращения граждан были </w:t>
      </w:r>
      <w:r w:rsidR="00057D7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рабочей группой </w:t>
      </w:r>
      <w:r w:rsidR="00E73F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отклонены. Так, например, было отказано заявительнице, которая, по сути, самовольно захватила земельный участок, рас</w:t>
      </w:r>
      <w:r w:rsidR="00AA453E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положенный рядом с ее участком</w:t>
      </w:r>
      <w:r w:rsidR="00E73F2F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 </w:t>
      </w:r>
      <w:r w:rsidR="006C1E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</w:t>
      </w:r>
    </w:p>
    <w:p w:rsidR="00AE0A07" w:rsidRPr="003B2729" w:rsidRDefault="00AE0A07" w:rsidP="003B2729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AE0A0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Как отметила </w:t>
      </w:r>
      <w:r w:rsidRPr="00AE0A07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Ада </w:t>
      </w:r>
      <w:proofErr w:type="spellStart"/>
      <w:r w:rsidRPr="00AE0A07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Зайдуллина</w:t>
      </w:r>
      <w:proofErr w:type="spellEnd"/>
      <w:r w:rsidRPr="00AE0A0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применение закона о «лесной амнистии» позволяет гражданам сохранить построенные жилые дома, сады и огороды, за которыми они </w:t>
      </w:r>
      <w:proofErr w:type="gramStart"/>
      <w:r w:rsidRPr="00AE0A0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ухаживали много лет</w:t>
      </w:r>
      <w:proofErr w:type="gramEnd"/>
      <w:r w:rsidRPr="00AE0A0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 Главное в таких ситуациях – подтвердить законность владения земельным участком, подчеркнула она. При этом важно защитить от незаконной передачи в частную собственность земель лесного фонда, находящихся в собственности Российской Федерации.</w:t>
      </w:r>
    </w:p>
    <w:p w:rsidR="00DB5A88" w:rsidRPr="00AA453E" w:rsidRDefault="00AA453E" w:rsidP="00DB5A88">
      <w:pPr>
        <w:spacing w:after="0" w:line="240" w:lineRule="auto"/>
        <w:jc w:val="both"/>
        <w:rPr>
          <w:rStyle w:val="CharAttribute0"/>
          <w:b/>
          <w:color w:val="000000"/>
          <w:sz w:val="24"/>
        </w:rPr>
      </w:pPr>
      <w:r w:rsidRPr="00AA453E">
        <w:rPr>
          <w:rStyle w:val="CharAttribute0"/>
          <w:color w:val="000000"/>
          <w:sz w:val="24"/>
        </w:rPr>
        <w:t xml:space="preserve">Более подробно о том, </w:t>
      </w:r>
      <w:r w:rsidR="00E73F2F" w:rsidRPr="00AA453E">
        <w:rPr>
          <w:rStyle w:val="CharAttribute0"/>
          <w:color w:val="000000"/>
          <w:sz w:val="24"/>
        </w:rPr>
        <w:t>к</w:t>
      </w:r>
      <w:r w:rsidR="00DB5A88" w:rsidRPr="00AA453E">
        <w:rPr>
          <w:rStyle w:val="CharAttribute0"/>
          <w:color w:val="000000"/>
          <w:sz w:val="24"/>
        </w:rPr>
        <w:t>акие участки попадают под «лесную амнистию»</w:t>
      </w:r>
      <w:r w:rsidR="00E73F2F" w:rsidRPr="00AA453E">
        <w:rPr>
          <w:rStyle w:val="CharAttribute0"/>
          <w:color w:val="000000"/>
          <w:sz w:val="24"/>
        </w:rPr>
        <w:t xml:space="preserve">, </w:t>
      </w:r>
      <w:r w:rsidRPr="00AA453E">
        <w:rPr>
          <w:rStyle w:val="CharAttribute0"/>
          <w:color w:val="000000"/>
          <w:sz w:val="24"/>
        </w:rPr>
        <w:t xml:space="preserve">рассказала </w:t>
      </w:r>
      <w:r w:rsidRPr="00AA453E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отдела ведения ЕГРН и повышения качества данных ЕГРН Управления </w:t>
      </w:r>
      <w:proofErr w:type="spellStart"/>
      <w:r w:rsidRPr="00AA453E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AA453E"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Татарстана Юлия Макарова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B5A88" w:rsidRPr="00D55BFA" w:rsidRDefault="00DB5A88" w:rsidP="00DB5A88">
      <w:pPr>
        <w:spacing w:after="0" w:line="240" w:lineRule="auto"/>
        <w:jc w:val="both"/>
        <w:rPr>
          <w:rStyle w:val="CharAttribute0"/>
          <w:b/>
          <w:color w:val="000000"/>
          <w:sz w:val="24"/>
        </w:rPr>
      </w:pPr>
    </w:p>
    <w:p w:rsidR="00DB5A88" w:rsidRPr="00AA453E" w:rsidRDefault="00DB5A88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color w:val="000000"/>
          <w:sz w:val="24"/>
        </w:rPr>
      </w:pPr>
      <w:r>
        <w:rPr>
          <w:rStyle w:val="CharAttribute0"/>
          <w:b/>
          <w:color w:val="000000"/>
          <w:sz w:val="24"/>
        </w:rPr>
        <w:t xml:space="preserve">Во-первых, </w:t>
      </w:r>
      <w:r w:rsidRPr="00AA453E">
        <w:rPr>
          <w:rStyle w:val="CharAttribute0"/>
          <w:color w:val="000000"/>
          <w:sz w:val="24"/>
        </w:rPr>
        <w:t>когда земельный участок, права на который у физического и юридического лица возникли до 1 января 2016 года, относится к иной (не лесной) категории земель в соответствии с правоустанавливающими документами и сведениям ЕГРН.</w:t>
      </w:r>
    </w:p>
    <w:p w:rsidR="00DB5A88" w:rsidRPr="00D55BFA" w:rsidRDefault="00DB5A88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b/>
          <w:color w:val="000000"/>
          <w:sz w:val="24"/>
        </w:rPr>
      </w:pPr>
      <w:r>
        <w:rPr>
          <w:rStyle w:val="CharAttribute0"/>
          <w:b/>
          <w:color w:val="000000"/>
          <w:sz w:val="24"/>
        </w:rPr>
        <w:t xml:space="preserve">Во-вторых, </w:t>
      </w:r>
      <w:r w:rsidRPr="00AA453E">
        <w:rPr>
          <w:rStyle w:val="CharAttribute0"/>
          <w:color w:val="000000"/>
          <w:sz w:val="24"/>
        </w:rPr>
        <w:t xml:space="preserve">когда на </w:t>
      </w:r>
      <w:proofErr w:type="gramStart"/>
      <w:r w:rsidRPr="00AA453E">
        <w:rPr>
          <w:rStyle w:val="CharAttribute0"/>
          <w:color w:val="000000"/>
          <w:sz w:val="24"/>
        </w:rPr>
        <w:t>образованном</w:t>
      </w:r>
      <w:proofErr w:type="gramEnd"/>
      <w:r w:rsidRPr="00AA453E">
        <w:rPr>
          <w:rStyle w:val="CharAttribute0"/>
          <w:color w:val="000000"/>
          <w:sz w:val="24"/>
        </w:rPr>
        <w:t xml:space="preserve"> на землях лесного фонда участке расположен объект недвижимости, права на который возникли до 1 января 2016 года.</w:t>
      </w:r>
    </w:p>
    <w:p w:rsidR="00DB5A88" w:rsidRPr="00AA453E" w:rsidRDefault="00DB5A88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color w:val="000000"/>
          <w:sz w:val="24"/>
        </w:rPr>
      </w:pPr>
      <w:r>
        <w:rPr>
          <w:rStyle w:val="CharAttribute0"/>
          <w:b/>
          <w:color w:val="000000"/>
          <w:sz w:val="24"/>
        </w:rPr>
        <w:t xml:space="preserve">В-третьих, </w:t>
      </w:r>
      <w:r w:rsidRPr="00AA453E">
        <w:rPr>
          <w:rStyle w:val="CharAttribute0"/>
          <w:color w:val="000000"/>
          <w:sz w:val="24"/>
        </w:rPr>
        <w:t>когда земельный участок в результате пересечения или уточнения границ оказался полностью или частично в границах лесопарковой зоны.</w:t>
      </w:r>
    </w:p>
    <w:p w:rsidR="00DB5A88" w:rsidRPr="00AA453E" w:rsidRDefault="00DB5A88" w:rsidP="00AA453E">
      <w:pPr>
        <w:shd w:val="clear" w:color="auto" w:fill="FFFFFF"/>
        <w:spacing w:after="0" w:line="240" w:lineRule="auto"/>
        <w:jc w:val="both"/>
        <w:textAlignment w:val="baseline"/>
        <w:rPr>
          <w:rStyle w:val="CharAttribute0"/>
          <w:color w:val="000000"/>
          <w:sz w:val="24"/>
        </w:rPr>
      </w:pPr>
      <w:r>
        <w:rPr>
          <w:rStyle w:val="CharAttribute0"/>
          <w:b/>
          <w:color w:val="000000"/>
          <w:sz w:val="24"/>
        </w:rPr>
        <w:lastRenderedPageBreak/>
        <w:t xml:space="preserve">В-четвертых, </w:t>
      </w:r>
      <w:r w:rsidRPr="00AA453E">
        <w:rPr>
          <w:rStyle w:val="CharAttribute0"/>
          <w:color w:val="000000"/>
          <w:sz w:val="24"/>
        </w:rPr>
        <w:t>если земельный участок лесного фонда находится в границах населенного пункта, он подлежит отнесению к этому населенного пункту. Даже если он числится в Г</w:t>
      </w:r>
      <w:r w:rsidR="00AA453E">
        <w:rPr>
          <w:rStyle w:val="CharAttribute0"/>
          <w:color w:val="000000"/>
          <w:sz w:val="24"/>
        </w:rPr>
        <w:t>осударственном лесном реестре</w:t>
      </w:r>
      <w:r w:rsidRPr="00AA453E">
        <w:rPr>
          <w:rStyle w:val="CharAttribute0"/>
          <w:color w:val="000000"/>
          <w:sz w:val="24"/>
        </w:rPr>
        <w:t>, но до 1 августа 2008 года был предоставлен для ведения садоводства, огородничества, дачного и подсобного хозяйства.</w:t>
      </w:r>
    </w:p>
    <w:p w:rsidR="00E73F2F" w:rsidRPr="00E73F2F" w:rsidRDefault="00E73F2F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К сведению</w:t>
      </w:r>
    </w:p>
    <w:p w:rsidR="00234EB3" w:rsidRDefault="00234EB3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При выявлении пересечений с лесным фондом заинтересованные лица могут обратиться в Управление </w:t>
      </w:r>
      <w:proofErr w:type="spellStart"/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по Республике Татарстан по адресу </w:t>
      </w:r>
      <w:proofErr w:type="gramStart"/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г</w:t>
      </w:r>
      <w:proofErr w:type="gramEnd"/>
      <w:r w:rsidRPr="00E73F2F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 Казань, ул. Авангардная, 74.</w:t>
      </w: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AA453E" w:rsidRPr="00E73F2F" w:rsidRDefault="00AA453E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234EB3" w:rsidRDefault="006445A1" w:rsidP="00234EB3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234EB3" w:rsidRPr="003B2729" w:rsidRDefault="00234EB3" w:rsidP="00AA453E">
      <w:pPr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CB627A">
        <w:rPr>
          <w:rFonts w:ascii="Segoe UI" w:eastAsia="Calibri" w:hAnsi="Segoe UI" w:cs="Segoe UI"/>
          <w:sz w:val="24"/>
          <w:szCs w:val="24"/>
        </w:rPr>
        <w:t xml:space="preserve"> </w:t>
      </w:r>
    </w:p>
    <w:p w:rsidR="004A7F97" w:rsidRDefault="004A7F97">
      <w:pPr>
        <w:rPr>
          <w:rFonts w:ascii="Segoe UI" w:hAnsi="Segoe UI" w:cs="Segoe UI"/>
          <w:sz w:val="20"/>
          <w:szCs w:val="20"/>
        </w:rPr>
      </w:pP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1593"/>
    <w:multiLevelType w:val="multilevel"/>
    <w:tmpl w:val="94C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36F7"/>
    <w:rsid w:val="00047C48"/>
    <w:rsid w:val="00057D7D"/>
    <w:rsid w:val="000801FB"/>
    <w:rsid w:val="000D705C"/>
    <w:rsid w:val="000E56A3"/>
    <w:rsid w:val="000E7C30"/>
    <w:rsid w:val="000F791C"/>
    <w:rsid w:val="00135E58"/>
    <w:rsid w:val="00234EB3"/>
    <w:rsid w:val="00240D7A"/>
    <w:rsid w:val="0027239E"/>
    <w:rsid w:val="003B2729"/>
    <w:rsid w:val="003E6D88"/>
    <w:rsid w:val="004A3627"/>
    <w:rsid w:val="004A7F97"/>
    <w:rsid w:val="004D09C5"/>
    <w:rsid w:val="004F336F"/>
    <w:rsid w:val="0052535F"/>
    <w:rsid w:val="00547558"/>
    <w:rsid w:val="0056655E"/>
    <w:rsid w:val="00586964"/>
    <w:rsid w:val="00604FA7"/>
    <w:rsid w:val="006136AC"/>
    <w:rsid w:val="0061666D"/>
    <w:rsid w:val="006445A1"/>
    <w:rsid w:val="00645BB0"/>
    <w:rsid w:val="00661884"/>
    <w:rsid w:val="0068589D"/>
    <w:rsid w:val="006C1E01"/>
    <w:rsid w:val="006C5E25"/>
    <w:rsid w:val="006F05EB"/>
    <w:rsid w:val="007468E1"/>
    <w:rsid w:val="0076512A"/>
    <w:rsid w:val="007D5551"/>
    <w:rsid w:val="008024AA"/>
    <w:rsid w:val="008517E7"/>
    <w:rsid w:val="008549F9"/>
    <w:rsid w:val="008722CF"/>
    <w:rsid w:val="008772D0"/>
    <w:rsid w:val="0087799F"/>
    <w:rsid w:val="008C25DF"/>
    <w:rsid w:val="0090185E"/>
    <w:rsid w:val="009771D5"/>
    <w:rsid w:val="009E2EB6"/>
    <w:rsid w:val="009E4663"/>
    <w:rsid w:val="00A52C9A"/>
    <w:rsid w:val="00A5449F"/>
    <w:rsid w:val="00AA453E"/>
    <w:rsid w:val="00AA540B"/>
    <w:rsid w:val="00AD5E78"/>
    <w:rsid w:val="00AE0A07"/>
    <w:rsid w:val="00B04A17"/>
    <w:rsid w:val="00B14A9D"/>
    <w:rsid w:val="00B75B70"/>
    <w:rsid w:val="00BA1D5E"/>
    <w:rsid w:val="00BF2D30"/>
    <w:rsid w:val="00C137D8"/>
    <w:rsid w:val="00C47F08"/>
    <w:rsid w:val="00C62C48"/>
    <w:rsid w:val="00C95621"/>
    <w:rsid w:val="00D22A90"/>
    <w:rsid w:val="00D610EA"/>
    <w:rsid w:val="00D77995"/>
    <w:rsid w:val="00D82D10"/>
    <w:rsid w:val="00D90B54"/>
    <w:rsid w:val="00DA79AC"/>
    <w:rsid w:val="00DB5A88"/>
    <w:rsid w:val="00E16E41"/>
    <w:rsid w:val="00E20335"/>
    <w:rsid w:val="00E61F19"/>
    <w:rsid w:val="00E73F2F"/>
    <w:rsid w:val="00E75176"/>
    <w:rsid w:val="00E76D25"/>
    <w:rsid w:val="00E77006"/>
    <w:rsid w:val="00E9475C"/>
    <w:rsid w:val="00E958DF"/>
    <w:rsid w:val="00EA16EB"/>
    <w:rsid w:val="00EB50CE"/>
    <w:rsid w:val="00EC0F34"/>
    <w:rsid w:val="00F33E29"/>
    <w:rsid w:val="00F34E90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0E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C30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47F08"/>
    <w:rPr>
      <w:i/>
      <w:iCs/>
    </w:rPr>
  </w:style>
  <w:style w:type="character" w:customStyle="1" w:styleId="CharAttribute0">
    <w:name w:val="CharAttribute0"/>
    <w:qFormat/>
    <w:rsid w:val="00DB5A88"/>
    <w:rPr>
      <w:rFonts w:ascii="Times New Roman" w:eastAsia="Andale Sans U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2019-07-02T08:44:00Z</cp:lastPrinted>
  <dcterms:created xsi:type="dcterms:W3CDTF">2019-07-09T11:49:00Z</dcterms:created>
  <dcterms:modified xsi:type="dcterms:W3CDTF">2019-07-09T12:07:00Z</dcterms:modified>
</cp:coreProperties>
</file>