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6445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65E6" w:rsidRPr="00D365E6" w:rsidRDefault="006445A1" w:rsidP="00D365E6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="00586964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E77006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D365E6">
        <w:rPr>
          <w:rFonts w:ascii="Segoe UI" w:eastAsia="Calibri" w:hAnsi="Segoe UI" w:cs="Segoe UI"/>
          <w:sz w:val="32"/>
          <w:szCs w:val="32"/>
          <w:lang w:eastAsia="sk-SK"/>
        </w:rPr>
        <w:t xml:space="preserve">об изменениях при </w:t>
      </w:r>
      <w:r w:rsidR="00D365E6" w:rsidRPr="00D365E6">
        <w:rPr>
          <w:rFonts w:ascii="Segoe UI" w:eastAsia="Calibri" w:hAnsi="Segoe UI" w:cs="Segoe UI"/>
          <w:sz w:val="32"/>
          <w:szCs w:val="32"/>
          <w:lang w:eastAsia="sk-SK"/>
        </w:rPr>
        <w:t xml:space="preserve">регистрации </w:t>
      </w:r>
      <w:r w:rsidR="005B3C06">
        <w:rPr>
          <w:rFonts w:ascii="Segoe UI" w:eastAsia="Calibri" w:hAnsi="Segoe UI" w:cs="Segoe UI"/>
          <w:sz w:val="32"/>
          <w:szCs w:val="32"/>
          <w:lang w:eastAsia="sk-SK"/>
        </w:rPr>
        <w:t>договоров долевого участия с</w:t>
      </w:r>
      <w:r w:rsidR="00D365E6">
        <w:rPr>
          <w:rFonts w:ascii="Segoe UI" w:eastAsia="Calibri" w:hAnsi="Segoe UI" w:cs="Segoe UI"/>
          <w:sz w:val="32"/>
          <w:szCs w:val="32"/>
          <w:lang w:eastAsia="sk-SK"/>
        </w:rPr>
        <w:t xml:space="preserve"> 1 июля 2019 года</w:t>
      </w:r>
    </w:p>
    <w:p w:rsidR="00D365E6" w:rsidRDefault="004C2C11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Как мы сообщали ранее, с</w:t>
      </w:r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1 июля 2019 года все российские застройщики, привлекающие средства граждан, обязаны перейти на схему долевого строительства жилья с применением </w:t>
      </w:r>
      <w:proofErr w:type="spellStart"/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эскроу-счетов</w:t>
      </w:r>
      <w:proofErr w:type="spellEnd"/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Средства дольщиков должны зачисляться на специальный банковский счет, </w:t>
      </w:r>
      <w:proofErr w:type="spellStart"/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девелоперы</w:t>
      </w:r>
      <w:proofErr w:type="spellEnd"/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не смогут получить эти деньги до передачи квартир покупателям, а строить будут на банковские кредиты. Од</w:t>
      </w:r>
      <w:r w:rsid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ним из важных моментов является</w:t>
      </w:r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то</w:t>
      </w:r>
      <w:r w:rsid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</w:t>
      </w:r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что после 1 июля 2019 года реализовывать  квартиры с использованием счетов </w:t>
      </w:r>
      <w:proofErr w:type="spellStart"/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эскроу</w:t>
      </w:r>
      <w:proofErr w:type="spellEnd"/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придется и в тех объектах, которые строятся сейчас.</w:t>
      </w:r>
    </w:p>
    <w:p w:rsidR="00D365E6" w:rsidRPr="00D365E6" w:rsidRDefault="00D365E6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Государственная регистрация договоров долевого участия на вновь возводимые объекты недвижимости является одним из самых распространенных регистрационных действий, производимых государственными регистраторами Управления </w:t>
      </w:r>
      <w:proofErr w:type="spellStart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</w:t>
      </w:r>
      <w:r w:rsidR="004C2C1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еспублике </w:t>
      </w: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Т</w:t>
      </w:r>
      <w:r w:rsidR="004C2C1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атарстан</w:t>
      </w: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r w:rsidR="004C2C1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При этом, как отметила </w:t>
      </w:r>
      <w:r w:rsidR="004C2C11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начальник отдела государст</w:t>
      </w:r>
      <w:r w:rsidR="00AF62F8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венной регистрации недвижимости юридических лиц и</w:t>
      </w:r>
      <w:r w:rsidR="004C2C11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договоров долевого</w:t>
      </w:r>
      <w:r w:rsidR="00AF62F8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участия Лилия </w:t>
      </w:r>
      <w:proofErr w:type="spellStart"/>
      <w:r w:rsidR="00AF62F8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Бурганова</w:t>
      </w:r>
      <w:proofErr w:type="spellEnd"/>
      <w:r w:rsidR="00AF62F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перечень документов, необходимый для проведения государственной регистрации договоров долевого участия с применением счетов </w:t>
      </w:r>
      <w:proofErr w:type="spellStart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эскроу</w:t>
      </w:r>
      <w:proofErr w:type="spellEnd"/>
      <w:r w:rsidR="004C2C1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</w:t>
      </w: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не поменялся.</w:t>
      </w:r>
    </w:p>
    <w:p w:rsidR="00D365E6" w:rsidRPr="00D365E6" w:rsidRDefault="00D365E6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соответствии с п.2 ст.48  Федерального закона от 13.07.2015г №218 «О государственной регистрации недвижимости» для государственной регистрации договора участия в долевом строительстве с первым участником долевого строительства представляются следующие документы:</w:t>
      </w:r>
    </w:p>
    <w:p w:rsidR="00D365E6" w:rsidRPr="00D365E6" w:rsidRDefault="00D365E6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- </w:t>
      </w:r>
      <w:bookmarkStart w:id="0" w:name="sub_10316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разрешение на строительство;</w:t>
      </w:r>
      <w:bookmarkStart w:id="1" w:name="sub_10317"/>
      <w:bookmarkEnd w:id="0"/>
    </w:p>
    <w:p w:rsidR="00D365E6" w:rsidRPr="00D365E6" w:rsidRDefault="00D365E6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план создаваемого многоквартирного дома, иного объекта недвижимости с указанием его местоположения, количества находящихся в составе создаваемого многоквартирного дома, иного объекта недвижимости жилых и нежилых помещений, машино-мест, планируемой площади каждого из указанных помещений и машино-мест (оригинал и копия);</w:t>
      </w:r>
    </w:p>
    <w:p w:rsidR="00D365E6" w:rsidRPr="00D365E6" w:rsidRDefault="00D365E6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- </w:t>
      </w:r>
      <w:bookmarkStart w:id="2" w:name="sub_10318"/>
      <w:bookmarkEnd w:id="1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проектная декларация;</w:t>
      </w:r>
    </w:p>
    <w:p w:rsidR="00D365E6" w:rsidRPr="00D365E6" w:rsidRDefault="00D365E6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</w:t>
      </w:r>
      <w:bookmarkStart w:id="3" w:name="sub_10319"/>
      <w:bookmarkEnd w:id="2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заключение уполномоченного на осуществление государственного контроля (надзора) в области долевого строительства многоквартирных домов и (или) иных объектов </w:t>
      </w:r>
      <w:proofErr w:type="gramStart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недвижимости органа исполнительной власти субъекта Российской Федерации</w:t>
      </w:r>
      <w:proofErr w:type="gramEnd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 соответствии застройщика и проектной декларации, выданное не ранее чем за шестьдесят дней до дня представления заявления о государственной регистрации договора участия в долевом строительстве; </w:t>
      </w:r>
    </w:p>
    <w:p w:rsidR="00D365E6" w:rsidRPr="00D365E6" w:rsidRDefault="00D365E6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 договор участия в долевом строительстве, в указанном договоре в должны быть предусмотрены условия об  обязанности участника долевого строительства (депонента) уплатить цену договора путем внесения денежных средств на открытый в уполномоченном банке (</w:t>
      </w:r>
      <w:proofErr w:type="spellStart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эскроу-агент</w:t>
      </w:r>
      <w:proofErr w:type="spellEnd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) счет </w:t>
      </w:r>
      <w:proofErr w:type="spellStart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эскроу</w:t>
      </w:r>
      <w:proofErr w:type="spellEnd"/>
      <w:r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с указанием сведений о таком банке.</w:t>
      </w:r>
    </w:p>
    <w:p w:rsidR="00D365E6" w:rsidRPr="00AF62F8" w:rsidRDefault="00D365E6" w:rsidP="00D365E6">
      <w:pPr>
        <w:jc w:val="both"/>
        <w:rPr>
          <w:rFonts w:ascii="Segoe UI" w:hAnsi="Segoe UI" w:cs="Segoe UI"/>
          <w:b/>
          <w:color w:val="FF0000"/>
          <w:sz w:val="21"/>
          <w:szCs w:val="21"/>
          <w:shd w:val="clear" w:color="auto" w:fill="FFFFFF"/>
        </w:rPr>
      </w:pPr>
      <w:r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В случае если строящийся многоквартирный жилой дом или иной объект недвижимости подпадает под критерии, установленные Постановлением Правительства РФ от 22.04.2019г №480,  </w:t>
      </w:r>
      <w:r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lastRenderedPageBreak/>
        <w:t xml:space="preserve">то наряду с </w:t>
      </w:r>
      <w:r w:rsidR="004C2C11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вышеперечисленными документами</w:t>
      </w:r>
      <w:r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предоставляется заключение</w:t>
      </w:r>
      <w:proofErr w:type="gramEnd"/>
      <w:r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о степени готовности объекта. Данное заключение выдает региональный уполномоченный орган, контролирующий долевое строительство</w:t>
      </w:r>
      <w:r w:rsidRPr="00A64276">
        <w:rPr>
          <w:rFonts w:ascii="Segoe UI" w:hAnsi="Segoe UI" w:cs="Segoe UI"/>
          <w:b/>
          <w:sz w:val="21"/>
          <w:szCs w:val="21"/>
          <w:shd w:val="clear" w:color="auto" w:fill="FFFFFF"/>
        </w:rPr>
        <w:t>.</w:t>
      </w:r>
      <w:r w:rsidR="004C2C11" w:rsidRPr="00A64276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 </w:t>
      </w:r>
      <w:r w:rsidR="005C3E12" w:rsidRPr="00A64276">
        <w:rPr>
          <w:rFonts w:ascii="Segoe UI" w:hAnsi="Segoe UI" w:cs="Segoe UI"/>
          <w:b/>
          <w:sz w:val="21"/>
          <w:szCs w:val="21"/>
          <w:shd w:val="clear" w:color="auto" w:fill="FFFFFF"/>
        </w:rPr>
        <w:t>В Татарстане это Управление жилищной полит</w:t>
      </w:r>
      <w:r w:rsidR="00A64276">
        <w:rPr>
          <w:rFonts w:ascii="Segoe UI" w:hAnsi="Segoe UI" w:cs="Segoe UI"/>
          <w:b/>
          <w:sz w:val="21"/>
          <w:szCs w:val="21"/>
          <w:shd w:val="clear" w:color="auto" w:fill="FFFFFF"/>
        </w:rPr>
        <w:t>и</w:t>
      </w:r>
      <w:r w:rsidR="005C3E12" w:rsidRPr="00A64276">
        <w:rPr>
          <w:rFonts w:ascii="Segoe UI" w:hAnsi="Segoe UI" w:cs="Segoe UI"/>
          <w:b/>
          <w:sz w:val="21"/>
          <w:szCs w:val="21"/>
          <w:shd w:val="clear" w:color="auto" w:fill="FFFFFF"/>
        </w:rPr>
        <w:t>ки</w:t>
      </w:r>
      <w:r w:rsidR="00A64276" w:rsidRPr="00A64276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 ИКМО г</w:t>
      </w:r>
      <w:proofErr w:type="gramStart"/>
      <w:r w:rsidR="00A64276" w:rsidRPr="00A64276">
        <w:rPr>
          <w:rFonts w:ascii="Segoe UI" w:hAnsi="Segoe UI" w:cs="Segoe UI"/>
          <w:b/>
          <w:sz w:val="21"/>
          <w:szCs w:val="21"/>
          <w:shd w:val="clear" w:color="auto" w:fill="FFFFFF"/>
        </w:rPr>
        <w:t>.К</w:t>
      </w:r>
      <w:proofErr w:type="gramEnd"/>
      <w:r w:rsidR="00A64276" w:rsidRPr="00A64276">
        <w:rPr>
          <w:rFonts w:ascii="Segoe UI" w:hAnsi="Segoe UI" w:cs="Segoe UI"/>
          <w:b/>
          <w:sz w:val="21"/>
          <w:szCs w:val="21"/>
          <w:shd w:val="clear" w:color="auto" w:fill="FFFFFF"/>
        </w:rPr>
        <w:t>азани</w:t>
      </w:r>
    </w:p>
    <w:bookmarkEnd w:id="3"/>
    <w:p w:rsidR="00D365E6" w:rsidRDefault="00AF62F8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Обращаем </w:t>
      </w:r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внимание, что в соответствии с Федеральным законом от 25.12.2018г. №478 478-ФЗ</w:t>
      </w:r>
      <w:r w:rsidR="004C2C1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«О внесении изменений в ФЗ «Об участии в долевом строительстве и иные отдельные з</w:t>
      </w:r>
      <w:r w:rsidR="004C2C1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аконодательные акты РФ» </w:t>
      </w:r>
      <w:r w:rsidR="004C2C11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договоры</w:t>
      </w:r>
      <w:r w:rsidR="00D365E6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участия в долевом строительстве, представленные на гос</w:t>
      </w:r>
      <w:r w:rsidR="004C2C11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ударственную регистрацию после 1 июля </w:t>
      </w:r>
      <w:r w:rsidR="00D365E6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2019, если даже </w:t>
      </w:r>
      <w:r w:rsidR="004C2C11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они были заключены до указанной даты,</w:t>
      </w:r>
      <w:r w:rsidR="00D365E6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будут регистрироваться с применением механизма </w:t>
      </w:r>
      <w:proofErr w:type="spellStart"/>
      <w:r w:rsidR="00D365E6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эскроу</w:t>
      </w:r>
      <w:proofErr w:type="spellEnd"/>
      <w:r w:rsidR="00D365E6"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счета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подчеркнула </w:t>
      </w:r>
      <w:r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Лилия </w:t>
      </w:r>
      <w:proofErr w:type="spellStart"/>
      <w:r w:rsidRPr="00AF62F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Бурганова</w:t>
      </w:r>
      <w:proofErr w:type="spellEnd"/>
      <w:r w:rsidR="00D365E6" w:rsidRPr="00D365E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proofErr w:type="gramEnd"/>
    </w:p>
    <w:p w:rsidR="00DB442B" w:rsidRDefault="00DB442B" w:rsidP="00D365E6">
      <w:pPr>
        <w:jc w:val="both"/>
        <w:rPr>
          <w:rFonts w:ascii="Segoe UI" w:hAnsi="Segoe UI" w:cs="Segoe UI"/>
          <w:i/>
          <w:sz w:val="21"/>
          <w:szCs w:val="21"/>
          <w:shd w:val="clear" w:color="auto" w:fill="FFFFFF"/>
        </w:rPr>
      </w:pPr>
      <w:r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>К сведению</w:t>
      </w:r>
    </w:p>
    <w:p w:rsidR="00D365E6" w:rsidRPr="00DB442B" w:rsidRDefault="00DB442B" w:rsidP="00D365E6">
      <w:pPr>
        <w:jc w:val="both"/>
        <w:rPr>
          <w:rFonts w:ascii="Segoe UI" w:hAnsi="Segoe UI" w:cs="Segoe UI"/>
          <w:i/>
          <w:sz w:val="21"/>
          <w:szCs w:val="21"/>
          <w:shd w:val="clear" w:color="auto" w:fill="FFFFFF"/>
        </w:rPr>
      </w:pPr>
      <w:r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В настоящее время в Татарстане ведется строительство 4 многоквартирных жилых домов, денежные средства дольщиков которых привлекаются с использованием механизма счетов – </w:t>
      </w:r>
      <w:proofErr w:type="spellStart"/>
      <w:r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>эскроу</w:t>
      </w:r>
      <w:proofErr w:type="spellEnd"/>
      <w:r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. </w:t>
      </w:r>
      <w:r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Всего в </w:t>
      </w:r>
      <w:r w:rsidR="00D365E6"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 2019 году </w:t>
      </w:r>
      <w:r>
        <w:rPr>
          <w:rFonts w:ascii="Segoe UI" w:hAnsi="Segoe UI" w:cs="Segoe UI"/>
          <w:i/>
          <w:sz w:val="21"/>
          <w:szCs w:val="21"/>
          <w:shd w:val="clear" w:color="auto" w:fill="FFFFFF"/>
        </w:rPr>
        <w:t>Управлением</w:t>
      </w:r>
      <w:r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 </w:t>
      </w:r>
      <w:proofErr w:type="spellStart"/>
      <w:r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>Росреестра</w:t>
      </w:r>
      <w:proofErr w:type="spellEnd"/>
      <w:r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 по Республике Татарстан </w:t>
      </w:r>
      <w:r w:rsidR="00D365E6"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зарегистрировано </w:t>
      </w:r>
      <w:r w:rsidR="00A64276"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>6251</w:t>
      </w:r>
      <w:r w:rsidR="00D365E6"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 договоров участия в долевом строительстве, из них 8</w:t>
      </w:r>
      <w:r w:rsidR="00A64276"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>6</w:t>
      </w:r>
      <w:r w:rsidR="00D365E6"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 договора с применением </w:t>
      </w:r>
      <w:proofErr w:type="spellStart"/>
      <w:r w:rsidR="00D365E6"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>эскроу</w:t>
      </w:r>
      <w:proofErr w:type="spellEnd"/>
      <w:r w:rsidR="00D365E6"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 счетов.</w:t>
      </w:r>
      <w:r w:rsidR="00A64276" w:rsidRPr="00DB442B">
        <w:rPr>
          <w:rFonts w:ascii="Segoe UI" w:hAnsi="Segoe UI" w:cs="Segoe UI"/>
          <w:i/>
          <w:sz w:val="21"/>
          <w:szCs w:val="21"/>
          <w:shd w:val="clear" w:color="auto" w:fill="FFFFFF"/>
        </w:rPr>
        <w:t xml:space="preserve">  </w:t>
      </w:r>
    </w:p>
    <w:p w:rsidR="00D365E6" w:rsidRPr="00D365E6" w:rsidRDefault="00D365E6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D365E6" w:rsidRPr="00D365E6" w:rsidRDefault="00D365E6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E56A3" w:rsidRPr="00D365E6" w:rsidRDefault="000E56A3" w:rsidP="00D365E6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Pr="00D365E6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4A7F97" w:rsidRDefault="006445A1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7C48"/>
    <w:rsid w:val="000801FB"/>
    <w:rsid w:val="000D705C"/>
    <w:rsid w:val="000E56A3"/>
    <w:rsid w:val="000F791C"/>
    <w:rsid w:val="00240D7A"/>
    <w:rsid w:val="0027239E"/>
    <w:rsid w:val="002D6200"/>
    <w:rsid w:val="003E6D88"/>
    <w:rsid w:val="0048205F"/>
    <w:rsid w:val="004A7F97"/>
    <w:rsid w:val="004C2C11"/>
    <w:rsid w:val="004D09C5"/>
    <w:rsid w:val="004F336F"/>
    <w:rsid w:val="0052535F"/>
    <w:rsid w:val="00547558"/>
    <w:rsid w:val="0056655E"/>
    <w:rsid w:val="00586964"/>
    <w:rsid w:val="005B3C06"/>
    <w:rsid w:val="005C3E12"/>
    <w:rsid w:val="006136AC"/>
    <w:rsid w:val="0061666D"/>
    <w:rsid w:val="006445A1"/>
    <w:rsid w:val="00645BB0"/>
    <w:rsid w:val="00661884"/>
    <w:rsid w:val="006722F6"/>
    <w:rsid w:val="006F05EB"/>
    <w:rsid w:val="007468E1"/>
    <w:rsid w:val="008024AA"/>
    <w:rsid w:val="008517E7"/>
    <w:rsid w:val="008549F9"/>
    <w:rsid w:val="008772D0"/>
    <w:rsid w:val="008C25DF"/>
    <w:rsid w:val="0090185E"/>
    <w:rsid w:val="009771D5"/>
    <w:rsid w:val="00A52C9A"/>
    <w:rsid w:val="00A5449F"/>
    <w:rsid w:val="00A64276"/>
    <w:rsid w:val="00AA540B"/>
    <w:rsid w:val="00AF62F8"/>
    <w:rsid w:val="00B14A9D"/>
    <w:rsid w:val="00B75B70"/>
    <w:rsid w:val="00BA1D5E"/>
    <w:rsid w:val="00BF2D30"/>
    <w:rsid w:val="00C62C48"/>
    <w:rsid w:val="00D22A90"/>
    <w:rsid w:val="00D365E6"/>
    <w:rsid w:val="00D610EA"/>
    <w:rsid w:val="00D77995"/>
    <w:rsid w:val="00D82D10"/>
    <w:rsid w:val="00DA79AC"/>
    <w:rsid w:val="00DB350A"/>
    <w:rsid w:val="00DB442B"/>
    <w:rsid w:val="00E16E41"/>
    <w:rsid w:val="00E20335"/>
    <w:rsid w:val="00E61F19"/>
    <w:rsid w:val="00E75176"/>
    <w:rsid w:val="00E76D25"/>
    <w:rsid w:val="00E77006"/>
    <w:rsid w:val="00E9475C"/>
    <w:rsid w:val="00E958DF"/>
    <w:rsid w:val="00E9727E"/>
    <w:rsid w:val="00EB50CE"/>
    <w:rsid w:val="00EC0F34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5</cp:revision>
  <cp:lastPrinted>2019-06-20T11:36:00Z</cp:lastPrinted>
  <dcterms:created xsi:type="dcterms:W3CDTF">2019-06-20T12:11:00Z</dcterms:created>
  <dcterms:modified xsi:type="dcterms:W3CDTF">2019-06-20T12:37:00Z</dcterms:modified>
</cp:coreProperties>
</file>