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445A1" w:rsidRDefault="006445A1" w:rsidP="006445A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86964" w:rsidRPr="00D22A90" w:rsidRDefault="00586964" w:rsidP="006445A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445A1" w:rsidRDefault="00586964" w:rsidP="0058696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6445A1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D22A90">
        <w:rPr>
          <w:rFonts w:ascii="Segoe UI" w:eastAsia="Calibri" w:hAnsi="Segoe UI" w:cs="Segoe UI"/>
          <w:sz w:val="32"/>
          <w:szCs w:val="32"/>
          <w:lang w:eastAsia="sk-SK"/>
        </w:rPr>
        <w:t xml:space="preserve">еженедельно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поступает более 300 документов </w:t>
      </w:r>
      <w:r w:rsidR="00E75176">
        <w:rPr>
          <w:rFonts w:ascii="Segoe UI" w:eastAsia="Calibri" w:hAnsi="Segoe UI" w:cs="Segoe UI"/>
          <w:sz w:val="32"/>
          <w:szCs w:val="32"/>
          <w:lang w:eastAsia="sk-SK"/>
        </w:rPr>
        <w:t xml:space="preserve">в электронном виде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от нотариусов </w:t>
      </w:r>
    </w:p>
    <w:p w:rsidR="006445A1" w:rsidRPr="003B5D25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Как известно, с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1 февраля 2019 вступили в силу новшества в сфере нотариата, большая часть которых связана с электронной регистрацией. Благодаря таким изменениям было налажено электронное взаимодействие, которое позволяет собственникам зарегистрировать права на объекты недвижимости, не обр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ащаясь в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в более короткие сроки. Т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акую услугу нотариусы оказывали и прежде, но осуществляли ее в качестве дополнительной. </w:t>
      </w:r>
    </w:p>
    <w:p w:rsidR="006445A1" w:rsidRPr="003B5D25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 мнению </w:t>
      </w:r>
      <w:r w:rsidRPr="004965AF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начальника отдела государственной регистрации недвижимости в электронном виде Управления </w:t>
      </w:r>
      <w:proofErr w:type="spellStart"/>
      <w:r w:rsidRPr="004965AF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4965AF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по Республике Татарстан  </w:t>
      </w:r>
      <w:proofErr w:type="spellStart"/>
      <w:r w:rsidRPr="004965AF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Ильсии</w:t>
      </w:r>
      <w:proofErr w:type="spellEnd"/>
      <w:r w:rsidRPr="004965AF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Казаковой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о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бязательный характер информационного электронного взаимодействия способствует не только популяризации института нотариата, но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что самое главное,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обеспечивает гражданам комфортный сервис при оформлении недвижимости.</w:t>
      </w:r>
      <w:r w:rsidR="008517E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Во-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первых, теперь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нотариусы подают документы на регистрацию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бесплатно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 Ранее подача документов нотариусом в органы регистрации оплачивалась по нотариальному тарифу. </w:t>
      </w:r>
      <w:r w:rsidRPr="006445A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Согласно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поправкам, которые вступили с  1 февраля </w:t>
      </w:r>
      <w:r w:rsidRPr="006445A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2019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года</w:t>
      </w:r>
      <w:r w:rsidRPr="006445A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представление документов на государственную регистрацию входит в состав иных нотариальных действий. 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Также для электронных пакетов Налоговым кодексом РФ  установлен льготный размер пошлины за государственную регистрацию права (коэффициент 0,7).</w:t>
      </w:r>
    </w:p>
    <w:p w:rsidR="006445A1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Во-вторых, по новым правилам нотариус подает документы на государственную регистрацию незамедлительно после совершения нотариальных действий, то есть подача документов на регистрацию нотариусом должна быть осуществлена не позднее окончания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рабочего дня.  В случае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если нотариус, по независящим от него причинам, не может направить в органы регистрации документы в электронном виде, то он обязан предоставить их на бумаге. Срок — два рабочих дня.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6445A1" w:rsidRPr="003B5D25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6445A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Таким образом, при оформлении сделки в таком режиме правообладатель получает у нотариуса документы, подтверждающие право собственности, в течение одного рабочего дня.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6445A1" w:rsidRPr="007B3743" w:rsidRDefault="006445A1" w:rsidP="006445A1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proofErr w:type="spellStart"/>
      <w:r w:rsidRPr="007B3743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Ильсия</w:t>
      </w:r>
      <w:proofErr w:type="spellEnd"/>
      <w:r w:rsidRPr="007B3743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Казакова</w:t>
      </w:r>
      <w:r w:rsidRPr="007B37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: «Плюсами электронного взаимодействия нотариусов с органами регистрации является не только быстрая регистрация, но и защита граждан при сделках с долями в 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отношении </w:t>
      </w:r>
      <w:r w:rsidRPr="007B37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недвижимости. Так, например, обязательная нотариальная форма предусмотрена при совершении сделок по ипотеке. 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Кроме того, электронное взаимодействие  дает</w:t>
      </w:r>
      <w:r w:rsidRPr="007B37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гражданам возможность проводить регистрацию без привлечения посреднико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в, тем самым уменьшить затраты при оформлении </w:t>
      </w:r>
      <w:r w:rsidRPr="007B37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прав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»</w:t>
      </w:r>
      <w:r w:rsidRPr="007B3743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</w:t>
      </w:r>
    </w:p>
    <w:p w:rsidR="00547558" w:rsidRPr="00547558" w:rsidRDefault="00547558" w:rsidP="006445A1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54755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lastRenderedPageBreak/>
        <w:t>К сведению</w:t>
      </w:r>
    </w:p>
    <w:p w:rsidR="006445A1" w:rsidRPr="003B5D25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Сравнительный анализ поданных документов на государственную регистрацию нотариусами показал значительный скачок в количестве обработанных пакетов документов. Так, например, до 1 февраля 2019 г. среднее количество поданных пакетов документов по г. Казани составлял в среднем 37 заявлений в неделю. Тогда как после 1 февраля 2019 этот показатель значительно увеличился и составил 321 заявление в неделю.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 этом у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величение поданных пакетов документов посредством портала государственных услуг не повлиял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</w:t>
      </w:r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на несвоевременность принятия решения по оказанию государственной услуги в </w:t>
      </w:r>
      <w:proofErr w:type="gramStart"/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рамках</w:t>
      </w:r>
      <w:proofErr w:type="gramEnd"/>
      <w:r w:rsidRPr="003B5D2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вступивших в законную силу изменений.</w:t>
      </w:r>
    </w:p>
    <w:p w:rsidR="006445A1" w:rsidRPr="003B5D25" w:rsidRDefault="006445A1" w:rsidP="006445A1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DE43C8" w:rsidRDefault="006445A1" w:rsidP="006445A1">
      <w:pPr>
        <w:jc w:val="both"/>
        <w:rPr>
          <w:rFonts w:eastAsia="BatangChe"/>
          <w:color w:val="000000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       </w:t>
      </w:r>
    </w:p>
    <w:p w:rsidR="006445A1" w:rsidRDefault="006445A1" w:rsidP="006445A1">
      <w:pPr>
        <w:shd w:val="clear" w:color="auto" w:fill="FFFFFF"/>
        <w:jc w:val="both"/>
        <w:rPr>
          <w:rFonts w:eastAsia="BatangChe"/>
          <w:color w:val="000000"/>
          <w:sz w:val="28"/>
          <w:szCs w:val="28"/>
        </w:rPr>
      </w:pPr>
    </w:p>
    <w:p w:rsidR="006445A1" w:rsidRDefault="006445A1" w:rsidP="006445A1">
      <w:pPr>
        <w:jc w:val="both"/>
        <w:rPr>
          <w:rFonts w:eastAsia="Times New Roman"/>
          <w:sz w:val="28"/>
          <w:szCs w:val="28"/>
        </w:rPr>
      </w:pPr>
    </w:p>
    <w:p w:rsidR="006445A1" w:rsidRPr="00476F33" w:rsidRDefault="006445A1" w:rsidP="006445A1">
      <w:pPr>
        <w:jc w:val="both"/>
        <w:rPr>
          <w:sz w:val="28"/>
          <w:szCs w:val="28"/>
        </w:rPr>
      </w:pPr>
      <w:r w:rsidRPr="00476F33">
        <w:rPr>
          <w:color w:val="000000"/>
          <w:sz w:val="28"/>
          <w:szCs w:val="28"/>
        </w:rPr>
        <w:br/>
      </w:r>
    </w:p>
    <w:p w:rsidR="006445A1" w:rsidRPr="00476F33" w:rsidRDefault="006445A1" w:rsidP="006445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5A1" w:rsidRDefault="006445A1" w:rsidP="006445A1"/>
    <w:p w:rsidR="006445A1" w:rsidRDefault="006445A1" w:rsidP="006445A1">
      <w:pPr>
        <w:autoSpaceDE w:val="0"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</w:p>
    <w:p w:rsidR="006445A1" w:rsidRPr="00EA1472" w:rsidRDefault="006445A1" w:rsidP="006445A1">
      <w:pPr>
        <w:autoSpaceDE w:val="0"/>
        <w:jc w:val="both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</w:p>
    <w:p w:rsidR="006445A1" w:rsidRPr="00BC4AEF" w:rsidRDefault="006445A1" w:rsidP="006445A1">
      <w:pPr>
        <w:autoSpaceDE w:val="0"/>
        <w:ind w:left="720"/>
        <w:outlineLvl w:val="0"/>
        <w:rPr>
          <w:rFonts w:eastAsia="Times New Roman"/>
          <w:b/>
          <w:sz w:val="28"/>
          <w:szCs w:val="28"/>
        </w:rPr>
      </w:pPr>
    </w:p>
    <w:p w:rsidR="006445A1" w:rsidRDefault="006445A1" w:rsidP="006445A1">
      <w:pPr>
        <w:autoSpaceDE w:val="0"/>
        <w:jc w:val="right"/>
        <w:outlineLvl w:val="0"/>
        <w:rPr>
          <w:rFonts w:eastAsia="Times New Roman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4A7F97"/>
    <w:rsid w:val="00547558"/>
    <w:rsid w:val="00586964"/>
    <w:rsid w:val="0061666D"/>
    <w:rsid w:val="006445A1"/>
    <w:rsid w:val="008517E7"/>
    <w:rsid w:val="00B14A9D"/>
    <w:rsid w:val="00D22A90"/>
    <w:rsid w:val="00E7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2019-05-13T11:11:00Z</cp:lastPrinted>
  <dcterms:created xsi:type="dcterms:W3CDTF">2019-05-13T10:57:00Z</dcterms:created>
  <dcterms:modified xsi:type="dcterms:W3CDTF">2019-05-13T13:23:00Z</dcterms:modified>
</cp:coreProperties>
</file>