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9D4971" w:rsidRDefault="006B3D1C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D63DE" w:rsidRPr="00CD63DE" w:rsidRDefault="00085233" w:rsidP="00CD63DE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="00CD63DE" w:rsidRPr="00CD63DE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351A8E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принял участие в форуме «Лидеры недвижимости Татарстана» </w:t>
      </w:r>
      <w:r w:rsidR="00351A8E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CD63DE" w:rsidRPr="00CD63DE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085233" w:rsidRPr="00C32940" w:rsidRDefault="006507D0" w:rsidP="00085233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507D0">
        <w:rPr>
          <w:rFonts w:ascii="Segoe UI" w:hAnsi="Segoe UI" w:cs="Segoe UI"/>
          <w:b/>
          <w:color w:val="000000"/>
          <w:sz w:val="22"/>
          <w:szCs w:val="22"/>
        </w:rPr>
        <w:t>29.03.2019</w:t>
      </w:r>
      <w:r>
        <w:rPr>
          <w:rFonts w:ascii="Segoe UI" w:hAnsi="Segoe UI" w:cs="Segoe UI"/>
          <w:color w:val="000000"/>
          <w:sz w:val="22"/>
          <w:szCs w:val="22"/>
        </w:rPr>
        <w:t xml:space="preserve"> - </w:t>
      </w:r>
      <w:r w:rsidR="006858E0" w:rsidRPr="006858E0">
        <w:rPr>
          <w:rFonts w:ascii="Segoe UI" w:hAnsi="Segoe UI" w:cs="Segoe UI"/>
          <w:color w:val="000000"/>
          <w:sz w:val="22"/>
          <w:szCs w:val="22"/>
        </w:rPr>
        <w:t>С</w:t>
      </w:r>
      <w:r w:rsidR="00085233" w:rsidRPr="00085233">
        <w:rPr>
          <w:rFonts w:ascii="Segoe UI" w:hAnsi="Segoe UI" w:cs="Segoe UI"/>
          <w:color w:val="000000"/>
          <w:sz w:val="22"/>
          <w:szCs w:val="22"/>
        </w:rPr>
        <w:t>егодня в ГТРК «Ривьера» состоялся форум «Лидеры рынка недвижимости Татарстана»</w:t>
      </w:r>
      <w:r w:rsidR="00085233" w:rsidRPr="00C32940">
        <w:rPr>
          <w:rFonts w:ascii="Segoe UI" w:hAnsi="Segoe UI" w:cs="Segoe UI"/>
          <w:color w:val="000000"/>
          <w:sz w:val="22"/>
          <w:szCs w:val="22"/>
        </w:rPr>
        <w:t>, в котором приняли участие представители госорганов,</w:t>
      </w:r>
      <w:r w:rsidR="00C32940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085233" w:rsidRPr="00C32940">
        <w:rPr>
          <w:rFonts w:ascii="Segoe UI" w:hAnsi="Segoe UI" w:cs="Segoe UI"/>
          <w:color w:val="000000"/>
          <w:sz w:val="22"/>
          <w:szCs w:val="22"/>
        </w:rPr>
        <w:t>строительных компаний, банков</w:t>
      </w:r>
      <w:r w:rsidR="00C32940">
        <w:rPr>
          <w:rFonts w:ascii="Segoe UI" w:hAnsi="Segoe UI" w:cs="Segoe UI"/>
          <w:color w:val="000000"/>
          <w:sz w:val="22"/>
          <w:szCs w:val="22"/>
        </w:rPr>
        <w:t>, агентств недвижимости и т</w:t>
      </w:r>
      <w:r w:rsidR="00085233" w:rsidRPr="00C32940">
        <w:rPr>
          <w:rFonts w:ascii="Segoe UI" w:hAnsi="Segoe UI" w:cs="Segoe UI"/>
          <w:color w:val="000000"/>
          <w:sz w:val="22"/>
          <w:szCs w:val="22"/>
        </w:rPr>
        <w:t>.</w:t>
      </w:r>
      <w:r w:rsidR="00C32940">
        <w:rPr>
          <w:rFonts w:ascii="Segoe UI" w:hAnsi="Segoe UI" w:cs="Segoe UI"/>
          <w:color w:val="000000"/>
          <w:sz w:val="22"/>
          <w:szCs w:val="22"/>
        </w:rPr>
        <w:t>д.</w:t>
      </w:r>
      <w:r w:rsidR="00085233" w:rsidRPr="00C32940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C32940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="00C32940">
        <w:rPr>
          <w:rFonts w:ascii="Segoe UI" w:hAnsi="Segoe UI" w:cs="Segoe UI"/>
          <w:color w:val="000000"/>
          <w:sz w:val="22"/>
          <w:szCs w:val="22"/>
        </w:rPr>
        <w:t>Росреестр</w:t>
      </w:r>
      <w:proofErr w:type="spellEnd"/>
      <w:r w:rsidR="00C32940">
        <w:rPr>
          <w:rFonts w:ascii="Segoe UI" w:hAnsi="Segoe UI" w:cs="Segoe UI"/>
          <w:color w:val="000000"/>
          <w:sz w:val="22"/>
          <w:szCs w:val="22"/>
        </w:rPr>
        <w:t xml:space="preserve"> Татарстана представляла </w:t>
      </w:r>
      <w:r w:rsidR="00C32940" w:rsidRPr="006858E0">
        <w:rPr>
          <w:rFonts w:ascii="Segoe UI" w:hAnsi="Segoe UI" w:cs="Segoe UI"/>
          <w:b/>
          <w:color w:val="000000"/>
          <w:sz w:val="22"/>
          <w:szCs w:val="22"/>
        </w:rPr>
        <w:t xml:space="preserve">начальник отдела государственной регистрации недвижимости юридических лиц и договоров долевого участия Лилия </w:t>
      </w:r>
      <w:proofErr w:type="spellStart"/>
      <w:r w:rsidR="00C32940" w:rsidRPr="006858E0">
        <w:rPr>
          <w:rFonts w:ascii="Segoe UI" w:hAnsi="Segoe UI" w:cs="Segoe UI"/>
          <w:b/>
          <w:color w:val="000000"/>
          <w:sz w:val="22"/>
          <w:szCs w:val="22"/>
        </w:rPr>
        <w:t>Бурганова</w:t>
      </w:r>
      <w:proofErr w:type="spellEnd"/>
      <w:r w:rsidR="00C32940">
        <w:rPr>
          <w:rFonts w:ascii="Segoe UI" w:hAnsi="Segoe UI" w:cs="Segoe UI"/>
          <w:color w:val="000000"/>
          <w:sz w:val="22"/>
          <w:szCs w:val="22"/>
        </w:rPr>
        <w:t xml:space="preserve">. </w:t>
      </w:r>
    </w:p>
    <w:p w:rsidR="00085233" w:rsidRPr="00085233" w:rsidRDefault="00C32940" w:rsidP="00085233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Выступая перед профессиональными участниками рынка недвижимости, Лилия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Бурганова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 xml:space="preserve"> отметила,  что в по</w:t>
      </w:r>
      <w:r w:rsidR="00085233" w:rsidRPr="00085233">
        <w:rPr>
          <w:rFonts w:ascii="Segoe UI" w:hAnsi="Segoe UI" w:cs="Segoe UI"/>
          <w:color w:val="000000"/>
          <w:sz w:val="22"/>
          <w:szCs w:val="22"/>
        </w:rPr>
        <w:t xml:space="preserve">следнее время, вопросы, связанные со строительством новых объектов недвижимости приобрели особое значение. </w:t>
      </w:r>
      <w:r>
        <w:rPr>
          <w:rFonts w:ascii="Segoe UI" w:hAnsi="Segoe UI" w:cs="Segoe UI"/>
          <w:color w:val="000000"/>
          <w:sz w:val="22"/>
          <w:szCs w:val="22"/>
        </w:rPr>
        <w:t>И в</w:t>
      </w:r>
      <w:r w:rsidR="00085233" w:rsidRPr="00085233">
        <w:rPr>
          <w:rFonts w:ascii="Segoe UI" w:hAnsi="Segoe UI" w:cs="Segoe UI"/>
          <w:color w:val="000000"/>
          <w:sz w:val="22"/>
          <w:szCs w:val="22"/>
        </w:rPr>
        <w:t>опреки распространенному мнению о том, что  Закон об участии в долевом строительстве в полной мере «не работает», вызывая массу вопросов и нареканий, на практике имеет популярное применение</w:t>
      </w:r>
      <w:r>
        <w:rPr>
          <w:rFonts w:ascii="Segoe UI" w:hAnsi="Segoe UI" w:cs="Segoe UI"/>
          <w:color w:val="000000"/>
          <w:sz w:val="22"/>
          <w:szCs w:val="22"/>
        </w:rPr>
        <w:t xml:space="preserve">. </w:t>
      </w:r>
      <w:r w:rsidR="00085233" w:rsidRPr="00085233">
        <w:rPr>
          <w:rFonts w:ascii="Segoe UI" w:hAnsi="Segoe UI" w:cs="Segoe UI"/>
          <w:color w:val="000000"/>
          <w:sz w:val="22"/>
          <w:szCs w:val="22"/>
        </w:rPr>
        <w:t xml:space="preserve">Так, статистика последних лет демонстрирует неуклонный рост количества  зарегистрированных договоров </w:t>
      </w:r>
      <w:r w:rsidR="00933777">
        <w:rPr>
          <w:rFonts w:ascii="Segoe UI" w:hAnsi="Segoe UI" w:cs="Segoe UI"/>
          <w:color w:val="000000"/>
          <w:sz w:val="22"/>
          <w:szCs w:val="22"/>
        </w:rPr>
        <w:t>участия в долевом строительстве</w:t>
      </w:r>
    </w:p>
    <w:tbl>
      <w:tblPr>
        <w:tblW w:w="10527" w:type="dxa"/>
        <w:tblInd w:w="93" w:type="dxa"/>
        <w:tblLook w:val="04A0"/>
      </w:tblPr>
      <w:tblGrid>
        <w:gridCol w:w="1291"/>
        <w:gridCol w:w="1134"/>
        <w:gridCol w:w="992"/>
        <w:gridCol w:w="993"/>
        <w:gridCol w:w="850"/>
        <w:gridCol w:w="851"/>
        <w:gridCol w:w="1559"/>
        <w:gridCol w:w="1897"/>
        <w:gridCol w:w="960"/>
      </w:tblGrid>
      <w:tr w:rsidR="00085233" w:rsidRPr="00085233" w:rsidTr="006858E0">
        <w:trPr>
          <w:trHeight w:val="30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233" w:rsidRPr="00085233" w:rsidRDefault="006858E0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33" w:rsidRPr="00085233" w:rsidRDefault="00085233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85233">
              <w:rPr>
                <w:rFonts w:ascii="Segoe UI" w:hAnsi="Segoe UI" w:cs="Segoe U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33" w:rsidRPr="00085233" w:rsidRDefault="00085233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85233">
              <w:rPr>
                <w:rFonts w:ascii="Segoe UI" w:hAnsi="Segoe UI" w:cs="Segoe U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33" w:rsidRPr="00085233" w:rsidRDefault="00085233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85233">
              <w:rPr>
                <w:rFonts w:ascii="Segoe UI" w:hAnsi="Segoe UI" w:cs="Segoe U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33" w:rsidRPr="00085233" w:rsidRDefault="00085233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85233">
              <w:rPr>
                <w:rFonts w:ascii="Segoe UI" w:hAnsi="Segoe UI" w:cs="Segoe U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33" w:rsidRPr="00085233" w:rsidRDefault="00085233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85233">
              <w:rPr>
                <w:rFonts w:ascii="Segoe UI" w:hAnsi="Segoe UI" w:cs="Segoe U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33" w:rsidRPr="00085233" w:rsidRDefault="00085233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85233">
              <w:rPr>
                <w:rFonts w:ascii="Segoe UI" w:hAnsi="Segoe UI" w:cs="Segoe UI"/>
                <w:color w:val="000000"/>
                <w:sz w:val="22"/>
                <w:szCs w:val="22"/>
              </w:rPr>
              <w:t>2019  январь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33" w:rsidRPr="00085233" w:rsidRDefault="00085233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85233">
              <w:rPr>
                <w:rFonts w:ascii="Segoe UI" w:hAnsi="Segoe UI" w:cs="Segoe UI"/>
                <w:color w:val="000000"/>
                <w:sz w:val="22"/>
                <w:szCs w:val="22"/>
              </w:rPr>
              <w:t>2019 февраль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233" w:rsidRPr="00085233" w:rsidRDefault="00085233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085233" w:rsidRPr="00085233" w:rsidTr="006858E0">
        <w:trPr>
          <w:trHeight w:val="100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233" w:rsidRPr="00085233" w:rsidRDefault="00085233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233" w:rsidRPr="00085233" w:rsidRDefault="00085233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233" w:rsidRPr="00085233" w:rsidRDefault="00085233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233" w:rsidRPr="00085233" w:rsidRDefault="00085233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233" w:rsidRPr="00085233" w:rsidRDefault="00085233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233" w:rsidRPr="00085233" w:rsidRDefault="00085233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33" w:rsidRPr="00085233" w:rsidRDefault="00085233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33" w:rsidRPr="00085233" w:rsidRDefault="00085233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233" w:rsidRPr="00085233" w:rsidRDefault="00085233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085233" w:rsidRPr="00085233" w:rsidTr="006858E0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233" w:rsidRPr="00085233" w:rsidRDefault="00085233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85233">
              <w:rPr>
                <w:rFonts w:ascii="Segoe UI" w:hAnsi="Segoe UI" w:cs="Segoe UI"/>
                <w:color w:val="000000"/>
                <w:sz w:val="22"/>
                <w:szCs w:val="22"/>
              </w:rPr>
              <w:t>Татарстан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33" w:rsidRPr="00085233" w:rsidRDefault="00085233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85233">
              <w:rPr>
                <w:rFonts w:ascii="Segoe UI" w:hAnsi="Segoe UI" w:cs="Segoe UI"/>
                <w:color w:val="000000"/>
                <w:sz w:val="22"/>
                <w:szCs w:val="22"/>
              </w:rPr>
              <w:t>17002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33" w:rsidRPr="00085233" w:rsidRDefault="00085233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85233">
              <w:rPr>
                <w:rFonts w:ascii="Segoe UI" w:hAnsi="Segoe UI" w:cs="Segoe UI"/>
                <w:color w:val="000000"/>
                <w:sz w:val="22"/>
                <w:szCs w:val="22"/>
              </w:rPr>
              <w:t>13524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33" w:rsidRPr="00085233" w:rsidRDefault="00085233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85233">
              <w:rPr>
                <w:rFonts w:ascii="Segoe UI" w:hAnsi="Segoe UI" w:cs="Segoe UI"/>
                <w:color w:val="000000"/>
                <w:sz w:val="22"/>
                <w:szCs w:val="22"/>
              </w:rPr>
              <w:t>14059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33" w:rsidRPr="00085233" w:rsidRDefault="00085233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85233">
              <w:rPr>
                <w:rFonts w:ascii="Segoe UI" w:hAnsi="Segoe UI" w:cs="Segoe UI"/>
                <w:color w:val="000000"/>
                <w:sz w:val="22"/>
                <w:szCs w:val="22"/>
              </w:rPr>
              <w:t>16820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33" w:rsidRPr="00085233" w:rsidRDefault="00085233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85233">
              <w:rPr>
                <w:rFonts w:ascii="Segoe UI" w:hAnsi="Segoe UI" w:cs="Segoe UI"/>
                <w:color w:val="000000"/>
                <w:sz w:val="22"/>
                <w:szCs w:val="22"/>
              </w:rPr>
              <w:t>20614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33" w:rsidRPr="00085233" w:rsidRDefault="00085233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85233">
              <w:rPr>
                <w:rFonts w:ascii="Segoe UI" w:hAnsi="Segoe UI" w:cs="Segoe UI"/>
                <w:color w:val="000000"/>
                <w:sz w:val="22"/>
                <w:szCs w:val="22"/>
              </w:rPr>
              <w:t>1534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33" w:rsidRPr="00085233" w:rsidRDefault="00085233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85233">
              <w:rPr>
                <w:rFonts w:ascii="Segoe UI" w:hAnsi="Segoe UI" w:cs="Segoe UI"/>
                <w:color w:val="000000"/>
                <w:sz w:val="22"/>
                <w:szCs w:val="22"/>
              </w:rPr>
              <w:t>1796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233" w:rsidRPr="00085233" w:rsidRDefault="00085233" w:rsidP="00085233">
            <w:pPr>
              <w:pStyle w:val="a6"/>
              <w:spacing w:before="120" w:after="120"/>
              <w:ind w:left="0"/>
              <w:contextualSpacing w:val="0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085233" w:rsidRPr="00085233" w:rsidRDefault="00085233" w:rsidP="00085233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85233" w:rsidRPr="00085233" w:rsidRDefault="00933777" w:rsidP="00085233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По словам Лилии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Бургановой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>, г</w:t>
      </w:r>
      <w:r w:rsidR="00085233" w:rsidRPr="00085233">
        <w:rPr>
          <w:rFonts w:ascii="Segoe UI" w:hAnsi="Segoe UI" w:cs="Segoe UI"/>
          <w:color w:val="000000"/>
          <w:sz w:val="22"/>
          <w:szCs w:val="22"/>
        </w:rPr>
        <w:t xml:space="preserve">осударственная регистрация договоров долевого участия на вновь возводимые объекты недвижимости является одним из самых распространенных регистрационных действий, производимых государственными регистраторами Управления </w:t>
      </w:r>
      <w:proofErr w:type="spellStart"/>
      <w:r w:rsidR="00085233" w:rsidRPr="00085233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="00085233" w:rsidRPr="00085233">
        <w:rPr>
          <w:rFonts w:ascii="Segoe UI" w:hAnsi="Segoe UI" w:cs="Segoe UI"/>
          <w:color w:val="000000"/>
          <w:sz w:val="22"/>
          <w:szCs w:val="22"/>
        </w:rPr>
        <w:t xml:space="preserve"> по Р</w:t>
      </w:r>
      <w:r>
        <w:rPr>
          <w:rFonts w:ascii="Segoe UI" w:hAnsi="Segoe UI" w:cs="Segoe UI"/>
          <w:color w:val="000000"/>
          <w:sz w:val="22"/>
          <w:szCs w:val="22"/>
        </w:rPr>
        <w:t xml:space="preserve">еспублике </w:t>
      </w:r>
      <w:r w:rsidR="00085233" w:rsidRPr="00085233">
        <w:rPr>
          <w:rFonts w:ascii="Segoe UI" w:hAnsi="Segoe UI" w:cs="Segoe UI"/>
          <w:color w:val="000000"/>
          <w:sz w:val="22"/>
          <w:szCs w:val="22"/>
        </w:rPr>
        <w:t>Т</w:t>
      </w:r>
      <w:r>
        <w:rPr>
          <w:rFonts w:ascii="Segoe UI" w:hAnsi="Segoe UI" w:cs="Segoe UI"/>
          <w:color w:val="000000"/>
          <w:sz w:val="22"/>
          <w:szCs w:val="22"/>
        </w:rPr>
        <w:t>атарстан</w:t>
      </w:r>
      <w:r w:rsidR="00085233" w:rsidRPr="00085233">
        <w:rPr>
          <w:rFonts w:ascii="Segoe UI" w:hAnsi="Segoe UI" w:cs="Segoe UI"/>
          <w:color w:val="000000"/>
          <w:sz w:val="22"/>
          <w:szCs w:val="22"/>
        </w:rPr>
        <w:t>.</w:t>
      </w:r>
      <w:r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085233" w:rsidRPr="00085233">
        <w:rPr>
          <w:rFonts w:ascii="Segoe UI" w:hAnsi="Segoe UI" w:cs="Segoe UI"/>
          <w:color w:val="000000"/>
          <w:sz w:val="22"/>
          <w:szCs w:val="22"/>
        </w:rPr>
        <w:t>Однако</w:t>
      </w:r>
      <w:r>
        <w:rPr>
          <w:rFonts w:ascii="Segoe UI" w:hAnsi="Segoe UI" w:cs="Segoe UI"/>
          <w:color w:val="000000"/>
          <w:sz w:val="22"/>
          <w:szCs w:val="22"/>
        </w:rPr>
        <w:t xml:space="preserve"> случаи, когда </w:t>
      </w:r>
      <w:r w:rsidR="00085233" w:rsidRPr="00085233">
        <w:rPr>
          <w:rFonts w:ascii="Segoe UI" w:hAnsi="Segoe UI" w:cs="Segoe UI"/>
          <w:color w:val="000000"/>
          <w:sz w:val="22"/>
          <w:szCs w:val="22"/>
        </w:rPr>
        <w:t>застройщиками допускаются ошибки и недочеты при подготовке документации, которые</w:t>
      </w:r>
      <w:r>
        <w:rPr>
          <w:rFonts w:ascii="Segoe UI" w:hAnsi="Segoe UI" w:cs="Segoe UI"/>
          <w:color w:val="000000"/>
          <w:sz w:val="22"/>
          <w:szCs w:val="22"/>
        </w:rPr>
        <w:t>,</w:t>
      </w:r>
      <w:r w:rsidR="00085233" w:rsidRPr="00085233">
        <w:rPr>
          <w:rFonts w:ascii="Segoe UI" w:hAnsi="Segoe UI" w:cs="Segoe UI"/>
          <w:color w:val="000000"/>
          <w:sz w:val="22"/>
          <w:szCs w:val="22"/>
        </w:rPr>
        <w:t xml:space="preserve"> в свою очередь</w:t>
      </w:r>
      <w:r>
        <w:rPr>
          <w:rFonts w:ascii="Segoe UI" w:hAnsi="Segoe UI" w:cs="Segoe UI"/>
          <w:color w:val="000000"/>
          <w:sz w:val="22"/>
          <w:szCs w:val="22"/>
        </w:rPr>
        <w:t>,</w:t>
      </w:r>
      <w:r w:rsidR="00085233" w:rsidRPr="00085233">
        <w:rPr>
          <w:rFonts w:ascii="Segoe UI" w:hAnsi="Segoe UI" w:cs="Segoe UI"/>
          <w:color w:val="000000"/>
          <w:sz w:val="22"/>
          <w:szCs w:val="22"/>
        </w:rPr>
        <w:t xml:space="preserve"> являются  основаниями для приостановления государственной регистрации</w:t>
      </w:r>
      <w:r>
        <w:rPr>
          <w:rFonts w:ascii="Segoe UI" w:hAnsi="Segoe UI" w:cs="Segoe UI"/>
          <w:color w:val="000000"/>
          <w:sz w:val="22"/>
          <w:szCs w:val="22"/>
        </w:rPr>
        <w:t>, встречаются нередко</w:t>
      </w:r>
      <w:r w:rsidR="00085233" w:rsidRPr="00085233">
        <w:rPr>
          <w:rFonts w:ascii="Segoe UI" w:hAnsi="Segoe UI" w:cs="Segoe UI"/>
          <w:color w:val="000000"/>
          <w:sz w:val="22"/>
          <w:szCs w:val="22"/>
        </w:rPr>
        <w:t xml:space="preserve">. Перечислим наиболее часто встречающиеся. </w:t>
      </w:r>
    </w:p>
    <w:p w:rsidR="00085233" w:rsidRPr="00085233" w:rsidRDefault="00085233" w:rsidP="00085233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933777">
        <w:rPr>
          <w:rFonts w:ascii="Segoe UI" w:hAnsi="Segoe UI" w:cs="Segoe UI"/>
          <w:b/>
          <w:color w:val="000000"/>
          <w:sz w:val="22"/>
          <w:szCs w:val="22"/>
        </w:rPr>
        <w:t>Во-первых,</w:t>
      </w:r>
      <w:r w:rsidRPr="00085233">
        <w:rPr>
          <w:rFonts w:ascii="Segoe UI" w:hAnsi="Segoe UI" w:cs="Segoe UI"/>
          <w:color w:val="000000"/>
          <w:sz w:val="22"/>
          <w:szCs w:val="22"/>
        </w:rPr>
        <w:t xml:space="preserve"> в Проектной декларации и в Плане создаваемого объекта имеются противоречия, которые не позволяют однозначно определить количество в составе строящегося многоквартирного жилого дома самостоятельных частей</w:t>
      </w:r>
      <w:r w:rsidR="005F579B">
        <w:rPr>
          <w:rFonts w:ascii="Segoe UI" w:hAnsi="Segoe UI" w:cs="Segoe UI"/>
          <w:color w:val="000000"/>
          <w:sz w:val="22"/>
          <w:szCs w:val="22"/>
        </w:rPr>
        <w:t>:</w:t>
      </w:r>
      <w:r w:rsidRPr="00085233">
        <w:rPr>
          <w:rFonts w:ascii="Segoe UI" w:hAnsi="Segoe UI" w:cs="Segoe UI"/>
          <w:color w:val="000000"/>
          <w:sz w:val="22"/>
          <w:szCs w:val="22"/>
        </w:rPr>
        <w:t xml:space="preserve"> парковочных мест, офисов, а также их техническое описание. </w:t>
      </w:r>
    </w:p>
    <w:p w:rsidR="00933777" w:rsidRDefault="00085233" w:rsidP="00085233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933777">
        <w:rPr>
          <w:rFonts w:ascii="Segoe UI" w:hAnsi="Segoe UI" w:cs="Segoe UI"/>
          <w:b/>
          <w:color w:val="000000"/>
          <w:sz w:val="22"/>
          <w:szCs w:val="22"/>
        </w:rPr>
        <w:t>Во-вторых</w:t>
      </w:r>
      <w:r w:rsidRPr="00085233">
        <w:rPr>
          <w:rFonts w:ascii="Segoe UI" w:hAnsi="Segoe UI" w:cs="Segoe UI"/>
          <w:color w:val="000000"/>
          <w:sz w:val="22"/>
          <w:szCs w:val="22"/>
        </w:rPr>
        <w:t>, срок действия заключения о соотв</w:t>
      </w:r>
      <w:r w:rsidR="005F579B">
        <w:rPr>
          <w:rFonts w:ascii="Segoe UI" w:hAnsi="Segoe UI" w:cs="Segoe UI"/>
          <w:color w:val="000000"/>
          <w:sz w:val="22"/>
          <w:szCs w:val="22"/>
        </w:rPr>
        <w:t>етствии застройщика, выдаваемый</w:t>
      </w:r>
      <w:r w:rsidRPr="00085233">
        <w:rPr>
          <w:rFonts w:ascii="Segoe UI" w:hAnsi="Segoe UI" w:cs="Segoe UI"/>
          <w:color w:val="000000"/>
          <w:sz w:val="22"/>
          <w:szCs w:val="22"/>
        </w:rPr>
        <w:t xml:space="preserve"> Управлением жилищной политики или другим уполномоченным органом,  на момент подачи документов, как правило, уже является истекшим.</w:t>
      </w:r>
    </w:p>
    <w:p w:rsidR="00085233" w:rsidRPr="00085233" w:rsidRDefault="00085233" w:rsidP="00085233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proofErr w:type="gramStart"/>
      <w:r w:rsidRPr="00085233">
        <w:rPr>
          <w:rFonts w:ascii="Segoe UI" w:hAnsi="Segoe UI" w:cs="Segoe UI"/>
          <w:color w:val="000000"/>
          <w:sz w:val="22"/>
          <w:szCs w:val="22"/>
        </w:rPr>
        <w:t>Напоминаем</w:t>
      </w:r>
      <w:r w:rsidRPr="00933777">
        <w:rPr>
          <w:rFonts w:ascii="Segoe UI" w:hAnsi="Segoe UI" w:cs="Segoe UI"/>
          <w:i/>
          <w:color w:val="000000"/>
          <w:sz w:val="22"/>
          <w:szCs w:val="22"/>
        </w:rPr>
        <w:t>, что для государственной регистрации договора участия в долевом строительстве, заключенного застройщиком с первым участником долевого строительства многоквартирного дома</w:t>
      </w:r>
      <w:r w:rsidR="00B95D30">
        <w:rPr>
          <w:rFonts w:ascii="Segoe UI" w:hAnsi="Segoe UI" w:cs="Segoe UI"/>
          <w:i/>
          <w:color w:val="000000"/>
          <w:sz w:val="22"/>
          <w:szCs w:val="22"/>
        </w:rPr>
        <w:t>,</w:t>
      </w:r>
      <w:r w:rsidRPr="00933777">
        <w:rPr>
          <w:rFonts w:ascii="Segoe UI" w:hAnsi="Segoe UI" w:cs="Segoe UI"/>
          <w:i/>
          <w:color w:val="000000"/>
          <w:sz w:val="22"/>
          <w:szCs w:val="22"/>
        </w:rPr>
        <w:t xml:space="preserve"> необходимо заключение контролирующего органа о соответствии застройщика и проектной </w:t>
      </w:r>
      <w:r w:rsidRPr="00933777">
        <w:rPr>
          <w:rFonts w:ascii="Segoe UI" w:hAnsi="Segoe UI" w:cs="Segoe UI"/>
          <w:i/>
          <w:color w:val="000000"/>
          <w:sz w:val="22"/>
          <w:szCs w:val="22"/>
        </w:rPr>
        <w:lastRenderedPageBreak/>
        <w:t>декларации,  выданное не ранее чем за шестьдесят дней до дня представления заявления о государственной регистрации договора участия в долевом строительстве, заключенного застройщиком с первым участником долевого строительства многоквартирного дома</w:t>
      </w:r>
      <w:r w:rsidRPr="00085233">
        <w:rPr>
          <w:rFonts w:ascii="Segoe UI" w:hAnsi="Segoe UI" w:cs="Segoe UI"/>
          <w:color w:val="000000"/>
          <w:sz w:val="22"/>
          <w:szCs w:val="22"/>
        </w:rPr>
        <w:t xml:space="preserve">.  </w:t>
      </w:r>
      <w:proofErr w:type="gramEnd"/>
    </w:p>
    <w:p w:rsidR="00085233" w:rsidRPr="00085233" w:rsidRDefault="00085233" w:rsidP="00085233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933777">
        <w:rPr>
          <w:rFonts w:ascii="Segoe UI" w:hAnsi="Segoe UI" w:cs="Segoe UI"/>
          <w:b/>
          <w:color w:val="000000"/>
          <w:sz w:val="22"/>
          <w:szCs w:val="22"/>
        </w:rPr>
        <w:t>В-третьих,</w:t>
      </w:r>
      <w:r w:rsidRPr="00085233">
        <w:rPr>
          <w:rFonts w:ascii="Segoe UI" w:hAnsi="Segoe UI" w:cs="Segoe UI"/>
          <w:color w:val="000000"/>
          <w:sz w:val="22"/>
          <w:szCs w:val="22"/>
        </w:rPr>
        <w:t xml:space="preserve"> в договоре долевого участия не указывается конкретный  срок передачи объекта долевого строительства.</w:t>
      </w:r>
    </w:p>
    <w:p w:rsidR="00085233" w:rsidRPr="00085233" w:rsidRDefault="00085233" w:rsidP="00085233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933777">
        <w:rPr>
          <w:rFonts w:ascii="Segoe UI" w:hAnsi="Segoe UI" w:cs="Segoe UI"/>
          <w:b/>
          <w:color w:val="000000"/>
          <w:sz w:val="22"/>
          <w:szCs w:val="22"/>
        </w:rPr>
        <w:t>В-четвертых,</w:t>
      </w:r>
      <w:r w:rsidRPr="00085233">
        <w:rPr>
          <w:rFonts w:ascii="Segoe UI" w:hAnsi="Segoe UI" w:cs="Segoe UI"/>
          <w:color w:val="000000"/>
          <w:sz w:val="22"/>
          <w:szCs w:val="22"/>
        </w:rPr>
        <w:t xml:space="preserve"> в Плане создаваемого объекта не обозначаются графические границы самостоятельных объектов долевого строительства. Данное обстоятельство не позволяет идентифицировать его в представляемых договорах долевого участия.</w:t>
      </w:r>
    </w:p>
    <w:p w:rsidR="00085233" w:rsidRPr="00085233" w:rsidRDefault="00085233" w:rsidP="00085233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933777">
        <w:rPr>
          <w:rFonts w:ascii="Segoe UI" w:hAnsi="Segoe UI" w:cs="Segoe UI"/>
          <w:b/>
          <w:color w:val="000000"/>
          <w:sz w:val="22"/>
          <w:szCs w:val="22"/>
        </w:rPr>
        <w:t>В- пятых,</w:t>
      </w:r>
      <w:r w:rsidRPr="00085233">
        <w:rPr>
          <w:rFonts w:ascii="Segoe UI" w:hAnsi="Segoe UI" w:cs="Segoe UI"/>
          <w:color w:val="000000"/>
          <w:sz w:val="22"/>
          <w:szCs w:val="22"/>
        </w:rPr>
        <w:t xml:space="preserve"> в договоре долевого участия должны быть отражены все ограничения, имеющиеся на земельном участке (ипотека, охранное обязательство, доверительное управление).</w:t>
      </w:r>
    </w:p>
    <w:p w:rsidR="00933777" w:rsidRPr="00055665" w:rsidRDefault="00055665" w:rsidP="00055665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055665">
        <w:rPr>
          <w:rFonts w:ascii="Segoe UI" w:hAnsi="Segoe UI" w:cs="Segoe UI"/>
          <w:color w:val="000000"/>
          <w:sz w:val="22"/>
          <w:szCs w:val="22"/>
        </w:rPr>
        <w:t xml:space="preserve">При этом  Лилия </w:t>
      </w:r>
      <w:proofErr w:type="spellStart"/>
      <w:r w:rsidRPr="00055665">
        <w:rPr>
          <w:rFonts w:ascii="Segoe UI" w:hAnsi="Segoe UI" w:cs="Segoe UI"/>
          <w:color w:val="000000"/>
          <w:sz w:val="22"/>
          <w:szCs w:val="22"/>
        </w:rPr>
        <w:t>Бурганова</w:t>
      </w:r>
      <w:proofErr w:type="spellEnd"/>
      <w:r w:rsidRPr="00055665">
        <w:rPr>
          <w:rFonts w:ascii="Segoe UI" w:hAnsi="Segoe UI" w:cs="Segoe UI"/>
          <w:color w:val="000000"/>
          <w:sz w:val="22"/>
          <w:szCs w:val="22"/>
        </w:rPr>
        <w:t xml:space="preserve"> отметила, что с введением механизма применения счетов </w:t>
      </w:r>
      <w:proofErr w:type="spellStart"/>
      <w:r w:rsidRPr="00055665">
        <w:rPr>
          <w:rFonts w:ascii="Segoe UI" w:hAnsi="Segoe UI" w:cs="Segoe UI"/>
          <w:color w:val="000000"/>
          <w:sz w:val="22"/>
          <w:szCs w:val="22"/>
        </w:rPr>
        <w:t>эскроу</w:t>
      </w:r>
      <w:proofErr w:type="spellEnd"/>
      <w:r w:rsidRPr="00055665">
        <w:rPr>
          <w:rFonts w:ascii="Segoe UI" w:hAnsi="Segoe UI" w:cs="Segoe UI"/>
          <w:color w:val="000000"/>
          <w:sz w:val="22"/>
          <w:szCs w:val="22"/>
        </w:rPr>
        <w:t xml:space="preserve">  перечень документов, необходимый для проведения регистрации договоров долевого участия, не поменялся. Главное условие - договором участия в долевом строительстве должны быть предусмотрены условия об  обязанности участника долевого строительства (депонента) уплатить цену договора путем внесения денежных средств на открытый в уполномоченном банке (</w:t>
      </w:r>
      <w:proofErr w:type="spellStart"/>
      <w:r w:rsidRPr="00055665">
        <w:rPr>
          <w:rFonts w:ascii="Segoe UI" w:hAnsi="Segoe UI" w:cs="Segoe UI"/>
          <w:color w:val="000000"/>
          <w:sz w:val="22"/>
          <w:szCs w:val="22"/>
        </w:rPr>
        <w:t>эскроу-агент</w:t>
      </w:r>
      <w:proofErr w:type="spellEnd"/>
      <w:r w:rsidRPr="00055665">
        <w:rPr>
          <w:rFonts w:ascii="Segoe UI" w:hAnsi="Segoe UI" w:cs="Segoe UI"/>
          <w:color w:val="000000"/>
          <w:sz w:val="22"/>
          <w:szCs w:val="22"/>
        </w:rPr>
        <w:t xml:space="preserve">) счет </w:t>
      </w:r>
      <w:proofErr w:type="spellStart"/>
      <w:r w:rsidRPr="00055665">
        <w:rPr>
          <w:rFonts w:ascii="Segoe UI" w:hAnsi="Segoe UI" w:cs="Segoe UI"/>
          <w:color w:val="000000"/>
          <w:sz w:val="22"/>
          <w:szCs w:val="22"/>
        </w:rPr>
        <w:t>эскроу</w:t>
      </w:r>
      <w:proofErr w:type="spellEnd"/>
      <w:r w:rsidRPr="00055665">
        <w:rPr>
          <w:rFonts w:ascii="Segoe UI" w:hAnsi="Segoe UI" w:cs="Segoe UI"/>
          <w:color w:val="000000"/>
          <w:sz w:val="22"/>
          <w:szCs w:val="22"/>
        </w:rPr>
        <w:t xml:space="preserve"> с указанием сведений о таком банке. Подводя итоги сказанному, Лилия </w:t>
      </w:r>
      <w:proofErr w:type="spellStart"/>
      <w:r w:rsidRPr="00055665">
        <w:rPr>
          <w:rFonts w:ascii="Segoe UI" w:hAnsi="Segoe UI" w:cs="Segoe UI"/>
          <w:color w:val="000000"/>
          <w:sz w:val="22"/>
          <w:szCs w:val="22"/>
        </w:rPr>
        <w:t>Бурганова</w:t>
      </w:r>
      <w:proofErr w:type="spellEnd"/>
      <w:r w:rsidRPr="00055665">
        <w:rPr>
          <w:rFonts w:ascii="Segoe UI" w:hAnsi="Segoe UI" w:cs="Segoe UI"/>
          <w:color w:val="000000"/>
          <w:sz w:val="22"/>
          <w:szCs w:val="22"/>
        </w:rPr>
        <w:t xml:space="preserve"> подчеркнула, что использование счетов </w:t>
      </w:r>
      <w:proofErr w:type="spellStart"/>
      <w:r w:rsidRPr="00055665">
        <w:rPr>
          <w:rFonts w:ascii="Segoe UI" w:hAnsi="Segoe UI" w:cs="Segoe UI"/>
          <w:color w:val="000000"/>
          <w:sz w:val="22"/>
          <w:szCs w:val="22"/>
        </w:rPr>
        <w:t>эскроу</w:t>
      </w:r>
      <w:proofErr w:type="spellEnd"/>
      <w:r w:rsidRPr="00055665">
        <w:rPr>
          <w:rFonts w:ascii="Segoe UI" w:hAnsi="Segoe UI" w:cs="Segoe UI"/>
          <w:color w:val="000000"/>
          <w:sz w:val="22"/>
          <w:szCs w:val="22"/>
        </w:rPr>
        <w:t xml:space="preserve"> по договорам долевого участия упрощает  процесс государственной регистрации,  а потенциальным участникам долевого строительства позволяет избежать  риска финансовых потерь.</w:t>
      </w:r>
    </w:p>
    <w:p w:rsidR="00933777" w:rsidRDefault="00933777" w:rsidP="00D13486"/>
    <w:p w:rsidR="00933777" w:rsidRDefault="00933777" w:rsidP="00D13486"/>
    <w:p w:rsidR="00933777" w:rsidRDefault="00933777" w:rsidP="00D13486"/>
    <w:p w:rsidR="00933777" w:rsidRDefault="00933777" w:rsidP="00D13486"/>
    <w:p w:rsidR="00933777" w:rsidRDefault="00933777" w:rsidP="00D13486"/>
    <w:p w:rsidR="00933777" w:rsidRDefault="00933777" w:rsidP="00D13486"/>
    <w:p w:rsidR="00933777" w:rsidRDefault="00933777" w:rsidP="00D13486"/>
    <w:p w:rsidR="00D13486" w:rsidRDefault="00D13486" w:rsidP="00D13486"/>
    <w:p w:rsidR="00055665" w:rsidRDefault="00055665" w:rsidP="00D13486"/>
    <w:p w:rsidR="00055665" w:rsidRDefault="00055665" w:rsidP="00D13486"/>
    <w:p w:rsidR="00055665" w:rsidRDefault="00055665" w:rsidP="00D13486"/>
    <w:p w:rsidR="006858E0" w:rsidRDefault="006858E0" w:rsidP="00D13486"/>
    <w:p w:rsidR="006858E0" w:rsidRDefault="006858E0" w:rsidP="00D13486"/>
    <w:p w:rsidR="00055665" w:rsidRDefault="00055665" w:rsidP="00D13486"/>
    <w:p w:rsidR="00055665" w:rsidRDefault="00055665" w:rsidP="00D13486"/>
    <w:p w:rsidR="005D6CB8" w:rsidRDefault="005D6CB8" w:rsidP="005D6CB8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933777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933777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A3DAC"/>
    <w:multiLevelType w:val="hybridMultilevel"/>
    <w:tmpl w:val="C0C83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55665"/>
    <w:rsid w:val="00085233"/>
    <w:rsid w:val="00102B4A"/>
    <w:rsid w:val="00147B4E"/>
    <w:rsid w:val="00181B32"/>
    <w:rsid w:val="001E1C8D"/>
    <w:rsid w:val="00227BBB"/>
    <w:rsid w:val="002D3C72"/>
    <w:rsid w:val="002E31D9"/>
    <w:rsid w:val="00316E64"/>
    <w:rsid w:val="00320271"/>
    <w:rsid w:val="00351A8E"/>
    <w:rsid w:val="003B6F99"/>
    <w:rsid w:val="003E2748"/>
    <w:rsid w:val="00424156"/>
    <w:rsid w:val="004535A1"/>
    <w:rsid w:val="004D1840"/>
    <w:rsid w:val="00502C7C"/>
    <w:rsid w:val="005A2411"/>
    <w:rsid w:val="005D6CB8"/>
    <w:rsid w:val="005E0A5E"/>
    <w:rsid w:val="005E794D"/>
    <w:rsid w:val="005F579B"/>
    <w:rsid w:val="00645BA0"/>
    <w:rsid w:val="006507D0"/>
    <w:rsid w:val="006858E0"/>
    <w:rsid w:val="006B3D1C"/>
    <w:rsid w:val="006B6385"/>
    <w:rsid w:val="006F2FF0"/>
    <w:rsid w:val="0070667B"/>
    <w:rsid w:val="00716902"/>
    <w:rsid w:val="00745649"/>
    <w:rsid w:val="007B77BE"/>
    <w:rsid w:val="0085240C"/>
    <w:rsid w:val="008F2A6F"/>
    <w:rsid w:val="0090169A"/>
    <w:rsid w:val="0092561D"/>
    <w:rsid w:val="00933777"/>
    <w:rsid w:val="0094651C"/>
    <w:rsid w:val="009F6F48"/>
    <w:rsid w:val="00A819F4"/>
    <w:rsid w:val="00B25B0A"/>
    <w:rsid w:val="00B55217"/>
    <w:rsid w:val="00B95D30"/>
    <w:rsid w:val="00BB61A4"/>
    <w:rsid w:val="00BD6645"/>
    <w:rsid w:val="00C135AE"/>
    <w:rsid w:val="00C32940"/>
    <w:rsid w:val="00C874BD"/>
    <w:rsid w:val="00C94061"/>
    <w:rsid w:val="00CD63DE"/>
    <w:rsid w:val="00D13486"/>
    <w:rsid w:val="00D13E40"/>
    <w:rsid w:val="00D372D8"/>
    <w:rsid w:val="00D44384"/>
    <w:rsid w:val="00E00C74"/>
    <w:rsid w:val="00E27137"/>
    <w:rsid w:val="00E94C20"/>
    <w:rsid w:val="00EF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link w:val="10"/>
    <w:uiPriority w:val="9"/>
    <w:qFormat/>
    <w:rsid w:val="006B3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3D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">
    <w:name w:val="Основной текст (2)_"/>
    <w:basedOn w:val="a0"/>
    <w:link w:val="20"/>
    <w:rsid w:val="006F2FF0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2FF0"/>
    <w:pPr>
      <w:widowControl w:val="0"/>
      <w:shd w:val="clear" w:color="auto" w:fill="FFFFFF"/>
      <w:spacing w:before="420" w:after="0" w:line="182" w:lineRule="exact"/>
      <w:ind w:hanging="300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Standard">
    <w:name w:val="Standard"/>
    <w:rsid w:val="000852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22</cp:revision>
  <cp:lastPrinted>2019-03-29T11:21:00Z</cp:lastPrinted>
  <dcterms:created xsi:type="dcterms:W3CDTF">2019-03-27T11:58:00Z</dcterms:created>
  <dcterms:modified xsi:type="dcterms:W3CDTF">2019-03-29T11:47:00Z</dcterms:modified>
</cp:coreProperties>
</file>